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11158" w14:textId="77777777" w:rsidR="001775F8" w:rsidRPr="006868C9" w:rsidRDefault="001775F8" w:rsidP="00153909">
      <w:pPr>
        <w:jc w:val="right"/>
        <w:rPr>
          <w:rFonts w:ascii="Times New Roman" w:hAnsi="Times New Roman"/>
          <w:b/>
          <w:sz w:val="24"/>
          <w:szCs w:val="24"/>
        </w:rPr>
      </w:pPr>
      <w:bookmarkStart w:id="0" w:name="_GoBack"/>
      <w:bookmarkEnd w:id="0"/>
    </w:p>
    <w:p w14:paraId="546769C2" w14:textId="53E8B74D" w:rsidR="00153909" w:rsidRPr="006868C9" w:rsidRDefault="003D36D4" w:rsidP="003D74AB">
      <w:pPr>
        <w:spacing w:before="120" w:after="120" w:line="240" w:lineRule="auto"/>
        <w:jc w:val="right"/>
        <w:rPr>
          <w:rFonts w:ascii="Times New Roman" w:hAnsi="Times New Roman"/>
          <w:b/>
          <w:sz w:val="24"/>
          <w:szCs w:val="24"/>
        </w:rPr>
      </w:pPr>
      <w:r w:rsidRPr="006868C9">
        <w:rPr>
          <w:rFonts w:ascii="Times New Roman" w:hAnsi="Times New Roman"/>
          <w:b/>
          <w:sz w:val="24"/>
          <w:szCs w:val="24"/>
        </w:rPr>
        <w:t xml:space="preserve">Приложение </w:t>
      </w:r>
      <w:r w:rsidR="00E426FE">
        <w:rPr>
          <w:rFonts w:ascii="Times New Roman" w:hAnsi="Times New Roman"/>
          <w:b/>
          <w:sz w:val="24"/>
          <w:szCs w:val="24"/>
        </w:rPr>
        <w:t>6</w:t>
      </w:r>
      <w:r w:rsidR="00636C0F" w:rsidRPr="006868C9">
        <w:rPr>
          <w:rFonts w:ascii="Times New Roman" w:hAnsi="Times New Roman"/>
          <w:b/>
          <w:sz w:val="24"/>
          <w:szCs w:val="24"/>
        </w:rPr>
        <w:t>.</w:t>
      </w:r>
      <w:r w:rsidRPr="006868C9">
        <w:rPr>
          <w:rFonts w:ascii="Times New Roman" w:hAnsi="Times New Roman"/>
          <w:b/>
          <w:sz w:val="24"/>
          <w:szCs w:val="24"/>
        </w:rPr>
        <w:t>A</w:t>
      </w:r>
    </w:p>
    <w:p w14:paraId="6A0C6489" w14:textId="35AB55C2" w:rsidR="00153909" w:rsidRPr="006868C9" w:rsidRDefault="00153909" w:rsidP="00CC089A">
      <w:pPr>
        <w:spacing w:before="120" w:after="240" w:line="240" w:lineRule="auto"/>
        <w:jc w:val="center"/>
        <w:rPr>
          <w:rFonts w:ascii="Times New Roman" w:hAnsi="Times New Roman"/>
          <w:b/>
          <w:sz w:val="24"/>
          <w:szCs w:val="24"/>
        </w:rPr>
      </w:pPr>
      <w:r w:rsidRPr="006868C9">
        <w:rPr>
          <w:rFonts w:ascii="Times New Roman" w:hAnsi="Times New Roman"/>
          <w:b/>
          <w:sz w:val="24"/>
          <w:szCs w:val="24"/>
        </w:rPr>
        <w:t xml:space="preserve">Изисквания, свързани с правилата за </w:t>
      </w:r>
      <w:r w:rsidR="0093490C" w:rsidRPr="006868C9">
        <w:rPr>
          <w:rFonts w:ascii="Times New Roman" w:hAnsi="Times New Roman"/>
          <w:b/>
          <w:sz w:val="24"/>
          <w:szCs w:val="24"/>
        </w:rPr>
        <w:t>„</w:t>
      </w:r>
      <w:r w:rsidR="00895D82" w:rsidRPr="006868C9">
        <w:rPr>
          <w:rFonts w:ascii="Times New Roman" w:hAnsi="Times New Roman"/>
          <w:b/>
          <w:sz w:val="24"/>
          <w:szCs w:val="24"/>
        </w:rPr>
        <w:t>Помощи за проекти за научноизследователска и развойна дейност</w:t>
      </w:r>
      <w:r w:rsidR="0093490C" w:rsidRPr="006868C9">
        <w:rPr>
          <w:rFonts w:ascii="Times New Roman" w:hAnsi="Times New Roman"/>
          <w:b/>
          <w:sz w:val="24"/>
          <w:szCs w:val="24"/>
        </w:rPr>
        <w:t xml:space="preserve">“ съгласно чл. </w:t>
      </w:r>
      <w:r w:rsidR="008F444F" w:rsidRPr="006868C9">
        <w:rPr>
          <w:rFonts w:ascii="Times New Roman" w:hAnsi="Times New Roman"/>
          <w:b/>
          <w:sz w:val="24"/>
          <w:szCs w:val="24"/>
        </w:rPr>
        <w:t>25</w:t>
      </w:r>
      <w:r w:rsidR="00895D82" w:rsidRPr="006868C9">
        <w:rPr>
          <w:rFonts w:ascii="Times New Roman" w:hAnsi="Times New Roman"/>
          <w:b/>
          <w:sz w:val="24"/>
          <w:szCs w:val="24"/>
        </w:rPr>
        <w:t>в</w:t>
      </w:r>
      <w:r w:rsidR="0093490C" w:rsidRPr="006868C9">
        <w:rPr>
          <w:rFonts w:ascii="Times New Roman" w:hAnsi="Times New Roman"/>
          <w:b/>
          <w:sz w:val="24"/>
          <w:szCs w:val="24"/>
        </w:rPr>
        <w:t xml:space="preserve"> от Регламент (ЕС) № 651/2014</w:t>
      </w:r>
    </w:p>
    <w:p w14:paraId="6540A3C6" w14:textId="726DF71F" w:rsidR="006868C9" w:rsidRPr="006868C9" w:rsidRDefault="006868C9" w:rsidP="006868C9">
      <w:pPr>
        <w:spacing w:before="120" w:after="240" w:line="240" w:lineRule="auto"/>
        <w:jc w:val="both"/>
        <w:rPr>
          <w:rFonts w:ascii="Times New Roman" w:hAnsi="Times New Roman"/>
          <w:sz w:val="24"/>
          <w:szCs w:val="24"/>
        </w:rPr>
      </w:pPr>
      <w:r w:rsidRPr="006868C9">
        <w:rPr>
          <w:rFonts w:ascii="Times New Roman" w:hAnsi="Times New Roman"/>
          <w:sz w:val="24"/>
          <w:szCs w:val="24"/>
        </w:rPr>
        <w:t>Съгласно чл. 25в от Регламент (ЕС) № 651/2014 помощи, предоставени за съфинансирани проекти за научноизследователска и развойна дейност или проучване за осъществимост (включително проекти за научноизследователска и развойна дейност, изпълнявани в рамките на европейско институционализирано партньорство въз основа на член 185 или 187 от Договора, или действие за съфинансиране по програмата, определено в правилата на програма „Хоризонт Европа“), които се изпълняват от най-малко три държави членки или алтернативно от две държави членки и поне една асоциирана държава, подбрани въз основа на оценяване и класиране, извършени от независими експерти в рамките на транснационални покани за представяне на предложения в съответствие с правилата на програма „Хоризонт Европа“, са съвместими с вътрешния пазар по смисъла на член 107, параграф 3 от Договора и се освобождават от задължението за уведомяване по член 108, параграф 3 от Договора, ако са изпълнени условията, предвидени в чл. 25 в и глава I от Регламента</w:t>
      </w:r>
    </w:p>
    <w:p w14:paraId="58ADAC3A" w14:textId="181A4802" w:rsidR="006868C9" w:rsidRPr="006868C9" w:rsidRDefault="006868C9" w:rsidP="006868C9">
      <w:pPr>
        <w:spacing w:before="120" w:after="240" w:line="240" w:lineRule="auto"/>
        <w:jc w:val="both"/>
        <w:rPr>
          <w:rFonts w:ascii="Times New Roman" w:hAnsi="Times New Roman"/>
          <w:sz w:val="24"/>
          <w:szCs w:val="24"/>
        </w:rPr>
      </w:pPr>
      <w:r w:rsidRPr="006868C9">
        <w:rPr>
          <w:rFonts w:ascii="Times New Roman" w:hAnsi="Times New Roman"/>
          <w:sz w:val="24"/>
          <w:szCs w:val="24"/>
        </w:rPr>
        <w:t>Допустимите дейности на подпомагания проект за научноизследователска и развойна дейност или на проучването за осъществимост са тези, определени като допустими според правилата на или програма „Хоризонт Европа“, с изключение на дейностите, които излизат извън обхвата на действията за експериментално развитие.</w:t>
      </w:r>
    </w:p>
    <w:p w14:paraId="530A50F8" w14:textId="1534DE33" w:rsidR="006868C9" w:rsidRPr="006868C9" w:rsidRDefault="006868C9" w:rsidP="006868C9">
      <w:pPr>
        <w:spacing w:before="120" w:after="240" w:line="240" w:lineRule="auto"/>
        <w:jc w:val="both"/>
        <w:rPr>
          <w:rFonts w:ascii="Times New Roman" w:hAnsi="Times New Roman"/>
          <w:sz w:val="24"/>
          <w:szCs w:val="24"/>
        </w:rPr>
      </w:pPr>
      <w:r w:rsidRPr="006868C9">
        <w:rPr>
          <w:rFonts w:ascii="Times New Roman" w:hAnsi="Times New Roman"/>
          <w:sz w:val="24"/>
          <w:szCs w:val="24"/>
        </w:rPr>
        <w:t>Категориите, максималните размери и методите на изчисление на допустимите разходи са тези, определени като допустими според правилата на програма „Хоризонт Европа“.</w:t>
      </w:r>
    </w:p>
    <w:p w14:paraId="6894CDE4" w14:textId="51E4E018" w:rsidR="006868C9" w:rsidRPr="006868C9" w:rsidRDefault="006868C9" w:rsidP="006868C9">
      <w:pPr>
        <w:spacing w:before="120" w:after="240" w:line="240" w:lineRule="auto"/>
        <w:jc w:val="both"/>
        <w:rPr>
          <w:rFonts w:ascii="Times New Roman" w:hAnsi="Times New Roman"/>
          <w:sz w:val="24"/>
          <w:szCs w:val="24"/>
        </w:rPr>
      </w:pPr>
      <w:r w:rsidRPr="006868C9">
        <w:rPr>
          <w:rFonts w:ascii="Times New Roman" w:hAnsi="Times New Roman"/>
          <w:sz w:val="24"/>
          <w:szCs w:val="24"/>
        </w:rPr>
        <w:t>Общият размер на предоставеното публично финансиране не надвишава процента на финансиране, определен за проекта за научноизследователска и развойна дейност или проучването за осъществимост след избора, класирането и оценяването съгласно правилата на програма „Хоризонт Европа“.</w:t>
      </w:r>
    </w:p>
    <w:p w14:paraId="64AFB05F" w14:textId="46F4339D" w:rsidR="006868C9" w:rsidRPr="006868C9" w:rsidRDefault="006868C9" w:rsidP="006868C9">
      <w:pPr>
        <w:spacing w:before="120" w:after="240" w:line="240" w:lineRule="auto"/>
        <w:jc w:val="both"/>
        <w:rPr>
          <w:rFonts w:ascii="Times New Roman" w:hAnsi="Times New Roman"/>
          <w:sz w:val="24"/>
          <w:szCs w:val="24"/>
        </w:rPr>
      </w:pPr>
      <w:r w:rsidRPr="006868C9">
        <w:rPr>
          <w:rFonts w:ascii="Times New Roman" w:hAnsi="Times New Roman"/>
          <w:sz w:val="24"/>
          <w:szCs w:val="24"/>
        </w:rPr>
        <w:t>Предоставеното по програма „Хоризонт Европа“ финансиране обхваща най-малко 30 % от общите допустими разходи за действие за научни изследвания и иновации или за действие за иновации, определено по програма „Хоризонт Европа“.</w:t>
      </w:r>
    </w:p>
    <w:p w14:paraId="0905D4D0" w14:textId="77777777" w:rsidR="006868C9" w:rsidRPr="006868C9" w:rsidRDefault="006868C9" w:rsidP="00CC089A">
      <w:pPr>
        <w:spacing w:before="120" w:after="240" w:line="240" w:lineRule="auto"/>
        <w:jc w:val="center"/>
        <w:rPr>
          <w:rFonts w:ascii="Times New Roman" w:hAnsi="Times New Roman"/>
          <w:b/>
          <w:sz w:val="24"/>
          <w:szCs w:val="24"/>
        </w:rPr>
      </w:pPr>
    </w:p>
    <w:p w14:paraId="7879D513" w14:textId="77777777" w:rsidR="002A7526" w:rsidRPr="006868C9" w:rsidRDefault="0036335D" w:rsidP="008F444F">
      <w:pPr>
        <w:spacing w:before="120" w:after="120" w:line="240" w:lineRule="auto"/>
        <w:jc w:val="both"/>
        <w:rPr>
          <w:rFonts w:ascii="Times New Roman" w:hAnsi="Times New Roman"/>
          <w:b/>
          <w:sz w:val="24"/>
          <w:szCs w:val="24"/>
        </w:rPr>
      </w:pPr>
      <w:r w:rsidRPr="006868C9">
        <w:rPr>
          <w:rFonts w:ascii="Times New Roman" w:hAnsi="Times New Roman"/>
          <w:b/>
          <w:sz w:val="24"/>
          <w:szCs w:val="24"/>
        </w:rPr>
        <w:t>1</w:t>
      </w:r>
      <w:r w:rsidR="00954589" w:rsidRPr="006868C9">
        <w:rPr>
          <w:rFonts w:ascii="Times New Roman" w:hAnsi="Times New Roman"/>
          <w:b/>
          <w:sz w:val="24"/>
          <w:szCs w:val="24"/>
        </w:rPr>
        <w:t>.</w:t>
      </w:r>
      <w:r w:rsidR="002A7526" w:rsidRPr="006868C9">
        <w:rPr>
          <w:rFonts w:ascii="Times New Roman" w:hAnsi="Times New Roman"/>
          <w:b/>
          <w:sz w:val="24"/>
          <w:szCs w:val="24"/>
        </w:rPr>
        <w:t xml:space="preserve"> </w:t>
      </w:r>
      <w:r w:rsidR="00091101" w:rsidRPr="006868C9">
        <w:rPr>
          <w:rFonts w:ascii="Times New Roman" w:hAnsi="Times New Roman"/>
          <w:b/>
          <w:sz w:val="24"/>
          <w:szCs w:val="24"/>
        </w:rPr>
        <w:t>Н</w:t>
      </w:r>
      <w:r w:rsidR="002A7526" w:rsidRPr="006868C9">
        <w:rPr>
          <w:rFonts w:ascii="Times New Roman" w:hAnsi="Times New Roman"/>
          <w:b/>
          <w:sz w:val="24"/>
          <w:szCs w:val="24"/>
        </w:rPr>
        <w:t>едопустим</w:t>
      </w:r>
      <w:r w:rsidR="00091101" w:rsidRPr="006868C9">
        <w:rPr>
          <w:rFonts w:ascii="Times New Roman" w:hAnsi="Times New Roman"/>
          <w:b/>
          <w:sz w:val="24"/>
          <w:szCs w:val="24"/>
        </w:rPr>
        <w:t>и</w:t>
      </w:r>
      <w:r w:rsidR="002A7526" w:rsidRPr="006868C9">
        <w:rPr>
          <w:rFonts w:ascii="Times New Roman" w:hAnsi="Times New Roman"/>
          <w:b/>
          <w:sz w:val="24"/>
          <w:szCs w:val="24"/>
        </w:rPr>
        <w:t xml:space="preserve"> </w:t>
      </w:r>
      <w:r w:rsidR="00091101" w:rsidRPr="006868C9">
        <w:rPr>
          <w:rFonts w:ascii="Times New Roman" w:hAnsi="Times New Roman"/>
          <w:b/>
          <w:sz w:val="24"/>
          <w:szCs w:val="24"/>
        </w:rPr>
        <w:t>кандидати:</w:t>
      </w:r>
    </w:p>
    <w:p w14:paraId="24C6BC5E" w14:textId="4745CC16" w:rsidR="004B7B24" w:rsidRPr="006868C9" w:rsidRDefault="004B7B24" w:rsidP="003D74AB">
      <w:pPr>
        <w:jc w:val="both"/>
        <w:rPr>
          <w:rFonts w:ascii="Times New Roman" w:hAnsi="Times New Roman"/>
          <w:sz w:val="24"/>
          <w:szCs w:val="24"/>
        </w:rPr>
      </w:pPr>
      <w:r w:rsidRPr="006868C9">
        <w:rPr>
          <w:rFonts w:ascii="Times New Roman" w:hAnsi="Times New Roman"/>
          <w:sz w:val="24"/>
        </w:rPr>
        <w:t>Кандидатите</w:t>
      </w:r>
      <w:r w:rsidR="00917877" w:rsidRPr="006868C9">
        <w:rPr>
          <w:rFonts w:ascii="Times New Roman" w:hAnsi="Times New Roman"/>
          <w:sz w:val="24"/>
        </w:rPr>
        <w:t xml:space="preserve">, </w:t>
      </w:r>
      <w:r w:rsidR="00917877" w:rsidRPr="006868C9">
        <w:rPr>
          <w:rFonts w:ascii="Times New Roman" w:hAnsi="Times New Roman"/>
          <w:b/>
          <w:sz w:val="24"/>
          <w:u w:val="single"/>
        </w:rPr>
        <w:t>публични органи или частни организации</w:t>
      </w:r>
      <w:r w:rsidR="006868C9">
        <w:rPr>
          <w:rFonts w:ascii="Times New Roman" w:hAnsi="Times New Roman"/>
          <w:b/>
          <w:sz w:val="24"/>
          <w:u w:val="single"/>
        </w:rPr>
        <w:t xml:space="preserve"> </w:t>
      </w:r>
      <w:r w:rsidR="006868C9" w:rsidRPr="006868C9">
        <w:rPr>
          <w:rFonts w:ascii="Times New Roman" w:hAnsi="Times New Roman"/>
          <w:b/>
          <w:sz w:val="24"/>
          <w:u w:val="single"/>
        </w:rPr>
        <w:t>в рамките на европейско институционализирано партньорство</w:t>
      </w:r>
      <w:r w:rsidRPr="006868C9">
        <w:rPr>
          <w:rFonts w:ascii="Times New Roman" w:hAnsi="Times New Roman"/>
          <w:sz w:val="24"/>
        </w:rPr>
        <w:t xml:space="preserve"> не могат да участват </w:t>
      </w:r>
      <w:r w:rsidRPr="006868C9">
        <w:rPr>
          <w:rFonts w:ascii="Times New Roman" w:hAnsi="Times New Roman"/>
          <w:sz w:val="24"/>
          <w:szCs w:val="24"/>
        </w:rPr>
        <w:t xml:space="preserve">в процедурата и да получат безвъзмездно финансиране, в случай че попадат в </w:t>
      </w:r>
      <w:r w:rsidRPr="006868C9">
        <w:rPr>
          <w:rFonts w:ascii="Times New Roman" w:hAnsi="Times New Roman"/>
          <w:sz w:val="24"/>
        </w:rPr>
        <w:t>забранителните режими</w:t>
      </w:r>
      <w:r w:rsidRPr="006868C9">
        <w:rPr>
          <w:rFonts w:ascii="Times New Roman" w:hAnsi="Times New Roman"/>
          <w:sz w:val="24"/>
          <w:szCs w:val="24"/>
        </w:rPr>
        <w:t xml:space="preserve"> съгласно чл. 1, </w:t>
      </w:r>
      <w:proofErr w:type="spellStart"/>
      <w:r w:rsidRPr="006868C9">
        <w:rPr>
          <w:rFonts w:ascii="Times New Roman" w:hAnsi="Times New Roman"/>
          <w:sz w:val="24"/>
          <w:szCs w:val="24"/>
        </w:rPr>
        <w:t>пар</w:t>
      </w:r>
      <w:proofErr w:type="spellEnd"/>
      <w:r w:rsidRPr="006868C9">
        <w:rPr>
          <w:rFonts w:ascii="Times New Roman" w:hAnsi="Times New Roman"/>
          <w:sz w:val="24"/>
          <w:szCs w:val="24"/>
        </w:rPr>
        <w:t>. 3 на Регламент на Комисията (ЕС) № 651/2014</w:t>
      </w:r>
      <w:r w:rsidR="003D74AB" w:rsidRPr="006868C9">
        <w:rPr>
          <w:rStyle w:val="FootnoteReference"/>
          <w:rFonts w:ascii="Times New Roman" w:hAnsi="Times New Roman"/>
          <w:sz w:val="24"/>
        </w:rPr>
        <w:footnoteReference w:id="2"/>
      </w:r>
      <w:r w:rsidRPr="006868C9">
        <w:rPr>
          <w:rFonts w:ascii="Times New Roman" w:hAnsi="Times New Roman"/>
          <w:sz w:val="24"/>
          <w:szCs w:val="24"/>
        </w:rPr>
        <w:t xml:space="preserve"> и по-конкретно, ако:</w:t>
      </w:r>
    </w:p>
    <w:p w14:paraId="77353AA3" w14:textId="7BA11466" w:rsidR="004B7B24" w:rsidRPr="006868C9" w:rsidRDefault="002A7526" w:rsidP="003D74AB">
      <w:pPr>
        <w:spacing w:before="120" w:after="120" w:line="240" w:lineRule="auto"/>
        <w:jc w:val="both"/>
        <w:rPr>
          <w:rFonts w:ascii="Times New Roman" w:hAnsi="Times New Roman"/>
          <w:sz w:val="24"/>
        </w:rPr>
      </w:pPr>
      <w:r w:rsidRPr="006868C9">
        <w:rPr>
          <w:rFonts w:ascii="Times New Roman" w:hAnsi="Times New Roman"/>
          <w:b/>
          <w:sz w:val="24"/>
          <w:szCs w:val="24"/>
        </w:rPr>
        <w:lastRenderedPageBreak/>
        <w:t>А)</w:t>
      </w:r>
      <w:r w:rsidRPr="006868C9">
        <w:rPr>
          <w:rFonts w:ascii="Times New Roman" w:hAnsi="Times New Roman"/>
          <w:sz w:val="24"/>
          <w:szCs w:val="24"/>
        </w:rPr>
        <w:t xml:space="preserve"> </w:t>
      </w:r>
      <w:r w:rsidR="004B7B24" w:rsidRPr="006868C9">
        <w:rPr>
          <w:rFonts w:ascii="Times New Roman" w:hAnsi="Times New Roman"/>
          <w:sz w:val="24"/>
        </w:rPr>
        <w:t xml:space="preserve">Икономическата </w:t>
      </w:r>
      <w:r w:rsidR="004B7B24" w:rsidRPr="006868C9">
        <w:rPr>
          <w:rFonts w:ascii="Times New Roman" w:hAnsi="Times New Roman"/>
          <w:sz w:val="24"/>
          <w:szCs w:val="24"/>
        </w:rPr>
        <w:t>дейност,</w:t>
      </w:r>
      <w:r w:rsidR="00895D82" w:rsidRPr="006868C9">
        <w:rPr>
          <w:rFonts w:ascii="Times New Roman" w:hAnsi="Times New Roman"/>
          <w:sz w:val="24"/>
        </w:rPr>
        <w:t xml:space="preserve"> за която кандидатстват, </w:t>
      </w:r>
      <w:r w:rsidR="00895D82" w:rsidRPr="006868C9">
        <w:rPr>
          <w:rFonts w:ascii="Times New Roman" w:hAnsi="Times New Roman"/>
          <w:b/>
          <w:sz w:val="24"/>
          <w:u w:val="single"/>
        </w:rPr>
        <w:t>публични органи или частни организации</w:t>
      </w:r>
      <w:r w:rsidR="00895D82" w:rsidRPr="006868C9">
        <w:rPr>
          <w:rFonts w:ascii="Times New Roman" w:hAnsi="Times New Roman"/>
          <w:sz w:val="24"/>
        </w:rPr>
        <w:t xml:space="preserve"> </w:t>
      </w:r>
      <w:r w:rsidR="004B7B24" w:rsidRPr="006868C9">
        <w:rPr>
          <w:rFonts w:ascii="Times New Roman" w:hAnsi="Times New Roman"/>
          <w:sz w:val="24"/>
        </w:rPr>
        <w:t>се отнася до:</w:t>
      </w:r>
    </w:p>
    <w:p w14:paraId="50176CE9" w14:textId="1EA7A3EE" w:rsidR="004B7B24" w:rsidRPr="006868C9" w:rsidRDefault="002A7526"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w:t>
      </w:r>
      <w:r w:rsidR="004B7B24" w:rsidRPr="006868C9">
        <w:rPr>
          <w:rFonts w:ascii="Times New Roman" w:hAnsi="Times New Roman"/>
          <w:sz w:val="24"/>
          <w:szCs w:val="24"/>
        </w:rPr>
        <w:t xml:space="preserve"> сектора на преработка и продажба на селскостопански продукти, в следните случаи:</w:t>
      </w:r>
    </w:p>
    <w:p w14:paraId="2DB9FD7D" w14:textId="77777777" w:rsidR="004B7B24" w:rsidRPr="006868C9" w:rsidRDefault="004B7B24"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533E6BE4" w14:textId="217A5344" w:rsidR="004B7B24" w:rsidRPr="006868C9" w:rsidRDefault="004B7B24"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 когато помощта е обвързана със задължението да бъде прехвърлена частично или изцяло на първичните производители;</w:t>
      </w:r>
    </w:p>
    <w:p w14:paraId="1CBDEE9C" w14:textId="744B0227" w:rsidR="004B7B24" w:rsidRPr="006868C9" w:rsidRDefault="002A7526" w:rsidP="003D74AB">
      <w:pPr>
        <w:spacing w:before="120" w:after="120" w:line="240" w:lineRule="auto"/>
        <w:jc w:val="both"/>
        <w:rPr>
          <w:rFonts w:ascii="Times New Roman" w:hAnsi="Times New Roman"/>
          <w:sz w:val="24"/>
          <w:szCs w:val="24"/>
        </w:rPr>
      </w:pPr>
      <w:r w:rsidRPr="006868C9">
        <w:rPr>
          <w:rFonts w:ascii="Times New Roman" w:hAnsi="Times New Roman"/>
          <w:b/>
          <w:sz w:val="24"/>
          <w:szCs w:val="24"/>
        </w:rPr>
        <w:t xml:space="preserve">А1) </w:t>
      </w:r>
      <w:r w:rsidR="00641597" w:rsidRPr="006868C9">
        <w:rPr>
          <w:rFonts w:ascii="Times New Roman" w:hAnsi="Times New Roman"/>
          <w:sz w:val="24"/>
          <w:szCs w:val="24"/>
        </w:rPr>
        <w:t>Проектното предложение</w:t>
      </w:r>
      <w:r w:rsidR="004B7B24" w:rsidRPr="006868C9">
        <w:rPr>
          <w:rFonts w:ascii="Times New Roman" w:hAnsi="Times New Roman"/>
          <w:sz w:val="24"/>
          <w:szCs w:val="24"/>
        </w:rPr>
        <w:t xml:space="preserve"> </w:t>
      </w:r>
      <w:r w:rsidR="00895D82" w:rsidRPr="006868C9">
        <w:rPr>
          <w:rFonts w:ascii="Times New Roman" w:hAnsi="Times New Roman"/>
          <w:sz w:val="24"/>
          <w:szCs w:val="24"/>
        </w:rPr>
        <w:t xml:space="preserve">на </w:t>
      </w:r>
      <w:r w:rsidR="006868C9" w:rsidRPr="006868C9">
        <w:rPr>
          <w:rFonts w:ascii="Times New Roman" w:hAnsi="Times New Roman"/>
          <w:b/>
          <w:sz w:val="24"/>
          <w:szCs w:val="24"/>
          <w:u w:val="single"/>
        </w:rPr>
        <w:t>кандидат</w:t>
      </w:r>
      <w:r w:rsidR="00895D82" w:rsidRPr="006868C9">
        <w:rPr>
          <w:rFonts w:ascii="Times New Roman" w:hAnsi="Times New Roman"/>
          <w:b/>
          <w:sz w:val="24"/>
          <w:szCs w:val="24"/>
          <w:u w:val="single"/>
        </w:rPr>
        <w:t xml:space="preserve">, който е публичен орган или частна организация </w:t>
      </w:r>
      <w:r w:rsidR="004B7B24" w:rsidRPr="006868C9">
        <w:rPr>
          <w:rFonts w:ascii="Times New Roman" w:hAnsi="Times New Roman"/>
          <w:sz w:val="24"/>
          <w:szCs w:val="24"/>
        </w:rPr>
        <w:t>не съдържа дейности за улесняване на закриването на неконкурентоспособни въглищни мини в съответствие с Решение 2010/787/ЕС на Съвета.</w:t>
      </w:r>
    </w:p>
    <w:p w14:paraId="3D7795E9" w14:textId="6B2A7DC6" w:rsidR="004B7B24" w:rsidRPr="006868C9" w:rsidRDefault="002A7526" w:rsidP="003D74AB">
      <w:pPr>
        <w:spacing w:before="120" w:after="120" w:line="240" w:lineRule="auto"/>
        <w:jc w:val="both"/>
        <w:rPr>
          <w:rFonts w:ascii="Times New Roman" w:hAnsi="Times New Roman"/>
          <w:b/>
          <w:sz w:val="24"/>
        </w:rPr>
      </w:pPr>
      <w:r w:rsidRPr="006868C9">
        <w:rPr>
          <w:rFonts w:ascii="Times New Roman" w:hAnsi="Times New Roman"/>
          <w:b/>
          <w:sz w:val="24"/>
          <w:szCs w:val="24"/>
        </w:rPr>
        <w:t xml:space="preserve">Б) </w:t>
      </w:r>
      <w:r w:rsidR="006868C9" w:rsidRPr="006868C9">
        <w:rPr>
          <w:rFonts w:ascii="Times New Roman" w:hAnsi="Times New Roman"/>
          <w:b/>
          <w:sz w:val="24"/>
          <w:szCs w:val="24"/>
          <w:u w:val="single"/>
        </w:rPr>
        <w:t>Кандидат</w:t>
      </w:r>
      <w:r w:rsidR="006868C9">
        <w:rPr>
          <w:rFonts w:ascii="Times New Roman" w:hAnsi="Times New Roman"/>
          <w:b/>
          <w:sz w:val="24"/>
          <w:szCs w:val="24"/>
          <w:u w:val="single"/>
        </w:rPr>
        <w:t>и, кои</w:t>
      </w:r>
      <w:r w:rsidR="006868C9" w:rsidRPr="006868C9">
        <w:rPr>
          <w:rFonts w:ascii="Times New Roman" w:hAnsi="Times New Roman"/>
          <w:b/>
          <w:sz w:val="24"/>
          <w:szCs w:val="24"/>
          <w:u w:val="single"/>
        </w:rPr>
        <w:t xml:space="preserve">то </w:t>
      </w:r>
      <w:r w:rsidR="006868C9">
        <w:rPr>
          <w:rFonts w:ascii="Times New Roman" w:hAnsi="Times New Roman"/>
          <w:b/>
          <w:sz w:val="24"/>
          <w:szCs w:val="24"/>
          <w:u w:val="single"/>
        </w:rPr>
        <w:t>са частна организация и</w:t>
      </w:r>
      <w:r w:rsidR="006868C9" w:rsidRPr="006868C9">
        <w:rPr>
          <w:rFonts w:ascii="Times New Roman" w:hAnsi="Times New Roman"/>
          <w:b/>
          <w:sz w:val="24"/>
          <w:szCs w:val="24"/>
          <w:u w:val="single"/>
        </w:rPr>
        <w:t xml:space="preserve"> </w:t>
      </w:r>
      <w:r w:rsidR="006868C9" w:rsidRPr="006868C9">
        <w:rPr>
          <w:rFonts w:ascii="Times New Roman" w:hAnsi="Times New Roman"/>
          <w:b/>
          <w:sz w:val="24"/>
        </w:rPr>
        <w:t xml:space="preserve">са </w:t>
      </w:r>
      <w:r w:rsidR="004B7B24" w:rsidRPr="006868C9">
        <w:rPr>
          <w:rFonts w:ascii="Times New Roman" w:hAnsi="Times New Roman"/>
          <w:b/>
          <w:sz w:val="24"/>
        </w:rPr>
        <w:t>предприятия, които:</w:t>
      </w:r>
    </w:p>
    <w:p w14:paraId="2FBEF12C" w14:textId="459B8373" w:rsidR="004B7B24" w:rsidRPr="006868C9" w:rsidRDefault="002A7526"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w:t>
      </w:r>
      <w:r w:rsidR="004B7B24" w:rsidRPr="006868C9">
        <w:rPr>
          <w:rFonts w:ascii="Times New Roman" w:hAnsi="Times New Roman"/>
          <w:sz w:val="24"/>
          <w:szCs w:val="24"/>
        </w:rPr>
        <w:t xml:space="preserve">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r w:rsidRPr="006868C9">
        <w:rPr>
          <w:rFonts w:ascii="Times New Roman" w:hAnsi="Times New Roman"/>
          <w:sz w:val="24"/>
          <w:szCs w:val="24"/>
          <w:vertAlign w:val="superscript"/>
        </w:rPr>
        <w:footnoteReference w:id="3"/>
      </w:r>
      <w:r w:rsidR="004B7B24" w:rsidRPr="006868C9">
        <w:rPr>
          <w:rFonts w:ascii="Times New Roman" w:hAnsi="Times New Roman"/>
          <w:sz w:val="24"/>
          <w:szCs w:val="24"/>
        </w:rPr>
        <w:t>;</w:t>
      </w:r>
    </w:p>
    <w:p w14:paraId="4B37038B" w14:textId="3ADDE3BC" w:rsidR="004B7B24" w:rsidRPr="006868C9" w:rsidRDefault="002A7526"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w:t>
      </w:r>
      <w:r w:rsidR="004B7B24" w:rsidRPr="006868C9">
        <w:rPr>
          <w:rFonts w:ascii="Times New Roman" w:hAnsi="Times New Roman"/>
          <w:sz w:val="24"/>
          <w:szCs w:val="24"/>
        </w:rPr>
        <w:t xml:space="preserve"> са „предприятия в затруднено положение“, по отношение на които е изпълнено поне едно от следните обстоятелства</w:t>
      </w:r>
      <w:r w:rsidRPr="006868C9">
        <w:rPr>
          <w:rFonts w:ascii="Times New Roman" w:hAnsi="Times New Roman"/>
          <w:sz w:val="24"/>
          <w:szCs w:val="24"/>
          <w:vertAlign w:val="superscript"/>
        </w:rPr>
        <w:footnoteReference w:id="4"/>
      </w:r>
      <w:r w:rsidR="004B7B24" w:rsidRPr="006868C9">
        <w:rPr>
          <w:rFonts w:ascii="Times New Roman" w:hAnsi="Times New Roman"/>
          <w:sz w:val="24"/>
          <w:szCs w:val="24"/>
        </w:rPr>
        <w:t>:</w:t>
      </w:r>
    </w:p>
    <w:p w14:paraId="188FCE2E" w14:textId="51916C77" w:rsidR="004B7B24" w:rsidRPr="006868C9" w:rsidRDefault="002A7526"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1.</w:t>
      </w:r>
      <w:r w:rsidR="004B7B24" w:rsidRPr="006868C9">
        <w:rPr>
          <w:rFonts w:ascii="Times New Roman" w:hAnsi="Times New Roman"/>
          <w:sz w:val="24"/>
          <w:szCs w:val="24"/>
        </w:rPr>
        <w:t xml:space="preserve"> В случай на дружество с ограничена отговорност</w:t>
      </w:r>
      <w:r w:rsidR="00A737F2" w:rsidRPr="006868C9">
        <w:rPr>
          <w:rFonts w:ascii="Times New Roman" w:hAnsi="Times New Roman"/>
          <w:sz w:val="24"/>
          <w:szCs w:val="24"/>
        </w:rPr>
        <w:t xml:space="preserve"> (в т.ч. акционерно дружество, </w:t>
      </w:r>
      <w:r w:rsidR="004B7B24" w:rsidRPr="006868C9">
        <w:rPr>
          <w:rFonts w:ascii="Times New Roman" w:hAnsi="Times New Roman"/>
          <w:sz w:val="24"/>
          <w:szCs w:val="24"/>
        </w:rPr>
        <w:t>командитно дружество с акции или кооперация или други дружества по Приложение I към Директива 2013/34/ЕС</w:t>
      </w:r>
      <w:r w:rsidR="00A737F2" w:rsidRPr="006868C9">
        <w:rPr>
          <w:rFonts w:ascii="Times New Roman" w:hAnsi="Times New Roman"/>
          <w:sz w:val="24"/>
          <w:szCs w:val="24"/>
        </w:rPr>
        <w:t xml:space="preserve">, </w:t>
      </w:r>
      <w:r w:rsidR="004B7B24" w:rsidRPr="006868C9">
        <w:rPr>
          <w:rFonts w:ascii="Times New Roman" w:hAnsi="Times New Roman"/>
          <w:sz w:val="24"/>
          <w:szCs w:val="24"/>
        </w:rPr>
        <w:t>което не е МСП</w:t>
      </w:r>
      <w:r w:rsidR="00A737F2" w:rsidRPr="006868C9">
        <w:rPr>
          <w:rFonts w:ascii="Times New Roman" w:hAnsi="Times New Roman"/>
          <w:sz w:val="24"/>
          <w:szCs w:val="24"/>
        </w:rPr>
        <w:t xml:space="preserve"> и</w:t>
      </w:r>
      <w:r w:rsidR="004B7B24" w:rsidRPr="006868C9">
        <w:rPr>
          <w:rFonts w:ascii="Times New Roman" w:hAnsi="Times New Roman"/>
          <w:sz w:val="24"/>
          <w:szCs w:val="24"/>
        </w:rPr>
        <w:t xml:space="preserve"> което съществува по-малко от три години</w:t>
      </w:r>
      <w:r w:rsidR="009F0F74" w:rsidRPr="006868C9">
        <w:rPr>
          <w:rFonts w:ascii="Times New Roman" w:hAnsi="Times New Roman"/>
          <w:sz w:val="24"/>
          <w:szCs w:val="24"/>
        </w:rPr>
        <w:t xml:space="preserve"> или, за целите на допустимостта за помощите за рисково финансиране, МСП, което отговаря на условието по член 21, параграф 3, буква б) на Регламент (ЕС) 651/2014 г. и</w:t>
      </w:r>
      <w:r w:rsidR="00A737F2" w:rsidRPr="006868C9">
        <w:rPr>
          <w:rFonts w:ascii="Times New Roman" w:hAnsi="Times New Roman"/>
          <w:sz w:val="24"/>
          <w:szCs w:val="24"/>
        </w:rPr>
        <w:t xml:space="preserve"> отговаря</w:t>
      </w:r>
      <w:r w:rsidR="009F0F74" w:rsidRPr="006868C9">
        <w:rPr>
          <w:rFonts w:ascii="Times New Roman" w:hAnsi="Times New Roman"/>
          <w:sz w:val="24"/>
          <w:szCs w:val="24"/>
        </w:rPr>
        <w:t xml:space="preserve"> на условията за инвестиции за рисково финансиране въз основа на извършен от избрания финансов посредник финансов и правен анализ</w:t>
      </w:r>
      <w:r w:rsidR="004B7B24" w:rsidRPr="006868C9">
        <w:rPr>
          <w:rFonts w:ascii="Times New Roman" w:hAnsi="Times New Roman"/>
          <w:sz w:val="24"/>
          <w:szCs w:val="24"/>
        </w:rPr>
        <w:t xml:space="preserve">),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w:t>
      </w:r>
      <w:r w:rsidR="00A737F2" w:rsidRPr="006868C9">
        <w:rPr>
          <w:rFonts w:ascii="Times New Roman" w:hAnsi="Times New Roman"/>
          <w:sz w:val="24"/>
          <w:szCs w:val="24"/>
        </w:rPr>
        <w:t>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w:t>
      </w:r>
      <w:r w:rsidR="00A737F2" w:rsidRPr="006868C9">
        <w:rPr>
          <w:rStyle w:val="FootnoteReference"/>
          <w:rFonts w:ascii="Times New Roman" w:hAnsi="Times New Roman"/>
          <w:sz w:val="24"/>
          <w:szCs w:val="24"/>
        </w:rPr>
        <w:footnoteReference w:id="5"/>
      </w:r>
      <w:r w:rsidR="00A737F2" w:rsidRPr="006868C9">
        <w:rPr>
          <w:rFonts w:ascii="Times New Roman" w:hAnsi="Times New Roman"/>
          <w:sz w:val="24"/>
          <w:szCs w:val="24"/>
        </w:rPr>
        <w:t>, а понятието „акционерен капитал" включва, когато е уместно, всякакви премии от емисии;</w:t>
      </w:r>
    </w:p>
    <w:p w14:paraId="5FE576A7" w14:textId="71444ADC" w:rsidR="004B7B24" w:rsidRPr="006868C9" w:rsidRDefault="004B7B24"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 xml:space="preserve">Преценката относно обстоятелството по т. </w:t>
      </w:r>
      <w:r w:rsidR="002A7526" w:rsidRPr="006868C9">
        <w:rPr>
          <w:rFonts w:ascii="Times New Roman" w:hAnsi="Times New Roman"/>
          <w:sz w:val="24"/>
          <w:szCs w:val="24"/>
        </w:rPr>
        <w:t>1</w:t>
      </w:r>
      <w:r w:rsidRPr="006868C9">
        <w:rPr>
          <w:rFonts w:ascii="Times New Roman" w:hAnsi="Times New Roman"/>
          <w:sz w:val="24"/>
          <w:szCs w:val="24"/>
        </w:rPr>
        <w:t xml:space="preserve"> се извършва въз основа на данните за последната приключена финансова година, както следва:</w:t>
      </w:r>
    </w:p>
    <w:p w14:paraId="0105CA80" w14:textId="261B1094" w:rsidR="004B7B24" w:rsidRPr="006868C9" w:rsidRDefault="004B7B24"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lastRenderedPageBreak/>
        <w:t xml:space="preserve">Едно предприятие ще бъде считано за </w:t>
      </w:r>
      <w:r w:rsidRPr="006868C9">
        <w:rPr>
          <w:rFonts w:ascii="Times New Roman" w:hAnsi="Times New Roman"/>
          <w:sz w:val="24"/>
        </w:rPr>
        <w:t>“</w:t>
      </w:r>
      <w:r w:rsidRPr="006868C9">
        <w:rPr>
          <w:rFonts w:ascii="Times New Roman" w:hAnsi="Times New Roman"/>
          <w:sz w:val="24"/>
          <w:szCs w:val="24"/>
        </w:rPr>
        <w:t xml:space="preserve">предприятие в затруднено положение“, когато сумата на т. </w:t>
      </w:r>
      <w:r w:rsidRPr="006868C9">
        <w:rPr>
          <w:rFonts w:ascii="Times New Roman" w:hAnsi="Times New Roman"/>
          <w:sz w:val="24"/>
        </w:rPr>
        <w:t>III</w:t>
      </w:r>
      <w:r w:rsidRPr="006868C9">
        <w:rPr>
          <w:rFonts w:ascii="Times New Roman" w:hAnsi="Times New Roman"/>
          <w:sz w:val="24"/>
          <w:szCs w:val="24"/>
        </w:rPr>
        <w:t xml:space="preserve"> „Резерв от последващи оценки“, т. </w:t>
      </w:r>
      <w:r w:rsidRPr="006868C9">
        <w:rPr>
          <w:rFonts w:ascii="Times New Roman" w:hAnsi="Times New Roman"/>
          <w:sz w:val="24"/>
        </w:rPr>
        <w:t>IV</w:t>
      </w:r>
      <w:r w:rsidRPr="006868C9">
        <w:rPr>
          <w:rFonts w:ascii="Times New Roman" w:hAnsi="Times New Roman"/>
          <w:sz w:val="24"/>
          <w:szCs w:val="24"/>
        </w:rPr>
        <w:t xml:space="preserve"> „Резерви“, т. </w:t>
      </w:r>
      <w:r w:rsidRPr="006868C9">
        <w:rPr>
          <w:rFonts w:ascii="Times New Roman" w:hAnsi="Times New Roman"/>
          <w:sz w:val="24"/>
        </w:rPr>
        <w:t>V</w:t>
      </w:r>
      <w:r w:rsidRPr="006868C9">
        <w:rPr>
          <w:rFonts w:ascii="Times New Roman" w:hAnsi="Times New Roman"/>
          <w:sz w:val="24"/>
          <w:szCs w:val="24"/>
        </w:rPr>
        <w:t xml:space="preserve"> „Натрупана печалба (загуба) от минали години“ и т. </w:t>
      </w:r>
      <w:r w:rsidRPr="006868C9">
        <w:rPr>
          <w:rFonts w:ascii="Times New Roman" w:hAnsi="Times New Roman"/>
          <w:sz w:val="24"/>
        </w:rPr>
        <w:t>VI</w:t>
      </w:r>
      <w:r w:rsidRPr="006868C9">
        <w:rPr>
          <w:rFonts w:ascii="Times New Roman" w:hAnsi="Times New Roman"/>
          <w:sz w:val="24"/>
          <w:szCs w:val="24"/>
        </w:rPr>
        <w:t xml:space="preserve"> „Текуща печалба (загуба)“ от раздел А „Собствен капитал“ на пасивите, описани в Счетоводния баланс на съответното предприятие </w:t>
      </w:r>
      <w:r w:rsidRPr="006868C9">
        <w:rPr>
          <w:rFonts w:ascii="Times New Roman" w:hAnsi="Times New Roman"/>
          <w:sz w:val="24"/>
        </w:rPr>
        <w:t>е отрицателна стойност</w:t>
      </w:r>
      <w:r w:rsidRPr="006868C9">
        <w:rPr>
          <w:rFonts w:ascii="Times New Roman" w:hAnsi="Times New Roman"/>
          <w:sz w:val="24"/>
          <w:szCs w:val="24"/>
        </w:rPr>
        <w:t xml:space="preserve">, която надвишава 50% от сумата на т. </w:t>
      </w:r>
      <w:r w:rsidRPr="006868C9">
        <w:rPr>
          <w:rFonts w:ascii="Times New Roman" w:hAnsi="Times New Roman"/>
          <w:sz w:val="24"/>
        </w:rPr>
        <w:t>I</w:t>
      </w:r>
      <w:r w:rsidRPr="006868C9">
        <w:rPr>
          <w:rFonts w:ascii="Times New Roman" w:hAnsi="Times New Roman"/>
          <w:sz w:val="24"/>
          <w:szCs w:val="24"/>
        </w:rPr>
        <w:t xml:space="preserve"> „Записан капитал“ и т. </w:t>
      </w:r>
      <w:r w:rsidRPr="006868C9">
        <w:rPr>
          <w:rFonts w:ascii="Times New Roman" w:hAnsi="Times New Roman"/>
          <w:sz w:val="24"/>
        </w:rPr>
        <w:t>II</w:t>
      </w:r>
      <w:r w:rsidRPr="006868C9">
        <w:rPr>
          <w:rFonts w:ascii="Times New Roman" w:hAnsi="Times New Roman"/>
          <w:sz w:val="24"/>
          <w:szCs w:val="24"/>
        </w:rPr>
        <w:t xml:space="preserve"> „Премии от емисии“ от раздел А „Собствен капитал“ на пасивите, описани в Счетоводния баланс</w:t>
      </w:r>
      <w:r w:rsidR="002A7526" w:rsidRPr="006868C9">
        <w:rPr>
          <w:rFonts w:ascii="Times New Roman" w:hAnsi="Times New Roman"/>
          <w:sz w:val="24"/>
          <w:szCs w:val="24"/>
          <w:vertAlign w:val="superscript"/>
        </w:rPr>
        <w:footnoteReference w:id="6"/>
      </w:r>
      <w:r w:rsidRPr="006868C9">
        <w:rPr>
          <w:rFonts w:ascii="Times New Roman" w:hAnsi="Times New Roman"/>
          <w:sz w:val="24"/>
          <w:szCs w:val="24"/>
        </w:rPr>
        <w:t>.</w:t>
      </w:r>
    </w:p>
    <w:p w14:paraId="56363E35" w14:textId="43BB6BDD" w:rsidR="004B7B24" w:rsidRPr="006868C9" w:rsidRDefault="002A7526"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2.</w:t>
      </w:r>
      <w:r w:rsidR="004B7B24" w:rsidRPr="006868C9">
        <w:rPr>
          <w:rFonts w:ascii="Times New Roman" w:hAnsi="Times New Roman"/>
          <w:sz w:val="24"/>
          <w:szCs w:val="24"/>
        </w:rPr>
        <w:t xml:space="preserve"> </w:t>
      </w:r>
      <w:r w:rsidR="00895D82" w:rsidRPr="006868C9">
        <w:rPr>
          <w:rFonts w:ascii="Times New Roman" w:hAnsi="Times New Roman"/>
          <w:b/>
          <w:sz w:val="24"/>
          <w:szCs w:val="24"/>
          <w:u w:val="single"/>
        </w:rPr>
        <w:t>За кандидати, които са частни организации,</w:t>
      </w:r>
      <w:r w:rsidR="00895D82" w:rsidRPr="006868C9">
        <w:rPr>
          <w:rFonts w:ascii="Times New Roman" w:hAnsi="Times New Roman"/>
          <w:sz w:val="24"/>
          <w:szCs w:val="24"/>
        </w:rPr>
        <w:t xml:space="preserve"> в </w:t>
      </w:r>
      <w:r w:rsidR="004B7B24" w:rsidRPr="006868C9">
        <w:rPr>
          <w:rFonts w:ascii="Times New Roman" w:hAnsi="Times New Roman"/>
          <w:sz w:val="24"/>
          <w:szCs w:val="24"/>
        </w:rPr>
        <w:t>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79FD4973" w14:textId="58AE33B9" w:rsidR="004B7B24" w:rsidRPr="006868C9" w:rsidRDefault="002A7526"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3.</w:t>
      </w:r>
      <w:r w:rsidR="004B7B24" w:rsidRPr="006868C9">
        <w:rPr>
          <w:rFonts w:ascii="Times New Roman" w:hAnsi="Times New Roman"/>
          <w:sz w:val="24"/>
          <w:szCs w:val="24"/>
        </w:rPr>
        <w:t xml:space="preserve"> </w:t>
      </w:r>
      <w:r w:rsidR="00895D82" w:rsidRPr="006868C9">
        <w:rPr>
          <w:rFonts w:ascii="Times New Roman" w:hAnsi="Times New Roman"/>
          <w:b/>
          <w:sz w:val="24"/>
          <w:szCs w:val="24"/>
          <w:u w:val="single"/>
        </w:rPr>
        <w:t>За кандидати, които са частни организации,</w:t>
      </w:r>
      <w:r w:rsidR="00895D82" w:rsidRPr="006868C9">
        <w:rPr>
          <w:rFonts w:ascii="Times New Roman" w:hAnsi="Times New Roman"/>
          <w:sz w:val="24"/>
          <w:szCs w:val="24"/>
        </w:rPr>
        <w:t xml:space="preserve"> когато </w:t>
      </w:r>
      <w:r w:rsidR="004B7B24" w:rsidRPr="006868C9">
        <w:rPr>
          <w:rFonts w:ascii="Times New Roman" w:hAnsi="Times New Roman"/>
          <w:sz w:val="24"/>
          <w:szCs w:val="24"/>
        </w:rPr>
        <w:t>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04F7B00D" w14:textId="6EFA5DE9" w:rsidR="004B7B24" w:rsidRPr="006868C9" w:rsidRDefault="002A7526"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4.</w:t>
      </w:r>
      <w:r w:rsidR="004B7B24" w:rsidRPr="006868C9">
        <w:rPr>
          <w:rFonts w:ascii="Times New Roman" w:hAnsi="Times New Roman"/>
          <w:sz w:val="24"/>
          <w:szCs w:val="24"/>
        </w:rPr>
        <w:t xml:space="preserve"> </w:t>
      </w:r>
      <w:r w:rsidR="00895D82" w:rsidRPr="006868C9">
        <w:rPr>
          <w:rFonts w:ascii="Times New Roman" w:hAnsi="Times New Roman"/>
          <w:b/>
          <w:sz w:val="24"/>
          <w:szCs w:val="24"/>
          <w:u w:val="single"/>
        </w:rPr>
        <w:t>За кандидати, които са частни организации,</w:t>
      </w:r>
      <w:r w:rsidR="00895D82" w:rsidRPr="006868C9">
        <w:rPr>
          <w:rFonts w:ascii="Times New Roman" w:hAnsi="Times New Roman"/>
          <w:sz w:val="24"/>
          <w:szCs w:val="24"/>
        </w:rPr>
        <w:t xml:space="preserve"> когато </w:t>
      </w:r>
      <w:r w:rsidR="004B7B24" w:rsidRPr="006868C9">
        <w:rPr>
          <w:rFonts w:ascii="Times New Roman" w:hAnsi="Times New Roman"/>
          <w:sz w:val="24"/>
          <w:szCs w:val="24"/>
        </w:rPr>
        <w:t>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2D298C29" w14:textId="6FF69D62" w:rsidR="004B7B24" w:rsidRPr="006868C9" w:rsidRDefault="004B7B24" w:rsidP="003D74AB">
      <w:pPr>
        <w:spacing w:before="120" w:after="120" w:line="240" w:lineRule="auto"/>
        <w:jc w:val="both"/>
        <w:rPr>
          <w:rFonts w:ascii="Times New Roman" w:hAnsi="Times New Roman"/>
          <w:sz w:val="24"/>
          <w:szCs w:val="24"/>
        </w:rPr>
      </w:pPr>
      <w:r w:rsidRPr="006868C9">
        <w:rPr>
          <w:rFonts w:ascii="Times New Roman" w:hAnsi="Times New Roman"/>
          <w:sz w:val="24"/>
          <w:szCs w:val="24"/>
        </w:rPr>
        <w:t xml:space="preserve">Изискванията по т. </w:t>
      </w:r>
      <w:r w:rsidR="002A7526" w:rsidRPr="006868C9">
        <w:rPr>
          <w:rFonts w:ascii="Times New Roman" w:hAnsi="Times New Roman"/>
          <w:sz w:val="24"/>
          <w:szCs w:val="24"/>
        </w:rPr>
        <w:t>Б</w:t>
      </w:r>
      <w:r w:rsidRPr="006868C9">
        <w:rPr>
          <w:rFonts w:ascii="Times New Roman" w:hAnsi="Times New Roman"/>
          <w:sz w:val="24"/>
          <w:szCs w:val="24"/>
        </w:rPr>
        <w:t>) се прилагат и на равнище група – както за предприятието-кандидат</w:t>
      </w:r>
      <w:r w:rsidR="00895D82" w:rsidRPr="006868C9">
        <w:rPr>
          <w:rFonts w:ascii="Times New Roman" w:hAnsi="Times New Roman"/>
          <w:sz w:val="24"/>
          <w:szCs w:val="24"/>
        </w:rPr>
        <w:t xml:space="preserve">, </w:t>
      </w:r>
      <w:r w:rsidR="00895D82" w:rsidRPr="006868C9">
        <w:rPr>
          <w:rFonts w:ascii="Times New Roman" w:hAnsi="Times New Roman"/>
          <w:b/>
          <w:sz w:val="24"/>
          <w:szCs w:val="24"/>
        </w:rPr>
        <w:t>което е частна организации,</w:t>
      </w:r>
      <w:r w:rsidRPr="006868C9">
        <w:rPr>
          <w:rFonts w:ascii="Times New Roman" w:hAnsi="Times New Roman"/>
          <w:sz w:val="24"/>
          <w:szCs w:val="24"/>
        </w:rPr>
        <w:t xml:space="preserve">, така и за предприятията, с които </w:t>
      </w:r>
      <w:r w:rsidR="00895D82" w:rsidRPr="006868C9">
        <w:rPr>
          <w:rFonts w:ascii="Times New Roman" w:hAnsi="Times New Roman"/>
          <w:sz w:val="24"/>
          <w:szCs w:val="24"/>
        </w:rPr>
        <w:t>то</w:t>
      </w:r>
      <w:r w:rsidRPr="006868C9">
        <w:rPr>
          <w:rFonts w:ascii="Times New Roman" w:hAnsi="Times New Roman"/>
          <w:sz w:val="24"/>
          <w:szCs w:val="24"/>
        </w:rPr>
        <w:t xml:space="preserve"> формира група предприятия (разгледани в цялост). Преди сключване на договор за </w:t>
      </w:r>
      <w:r w:rsidR="002A7526" w:rsidRPr="006868C9">
        <w:rPr>
          <w:rFonts w:ascii="Times New Roman" w:hAnsi="Times New Roman"/>
          <w:sz w:val="24"/>
          <w:szCs w:val="24"/>
        </w:rPr>
        <w:t>финансиране</w:t>
      </w:r>
      <w:r w:rsidRPr="006868C9">
        <w:rPr>
          <w:rFonts w:ascii="Times New Roman" w:hAnsi="Times New Roman"/>
          <w:sz w:val="24"/>
          <w:szCs w:val="24"/>
        </w:rPr>
        <w:t xml:space="preserve"> се извършва проверка (включително за наличие на „предприятие в затруднено положение“ по смисъла на чл.2, пар.18 от Регламент (ЕС) № 651/2014) на кандидата и лицата, с които същите са свързани, формирайки група,</w:t>
      </w:r>
      <w:r w:rsidR="00E5629D" w:rsidRPr="006868C9">
        <w:rPr>
          <w:rFonts w:ascii="Times New Roman" w:hAnsi="Times New Roman"/>
          <w:sz w:val="24"/>
          <w:szCs w:val="24"/>
        </w:rPr>
        <w:t xml:space="preserve"> съгласно за изискванията за определяне на свързаността, посочени в Приложение I от Регламента,</w:t>
      </w:r>
      <w:r w:rsidRPr="006868C9">
        <w:rPr>
          <w:rFonts w:ascii="Times New Roman" w:hAnsi="Times New Roman"/>
          <w:sz w:val="24"/>
          <w:szCs w:val="24"/>
        </w:rPr>
        <w:t xml:space="preserve">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2DF2C588" w14:textId="45CB658E" w:rsidR="004B7B24" w:rsidRPr="006868C9" w:rsidRDefault="002A7526" w:rsidP="009A1C53">
      <w:pPr>
        <w:spacing w:before="120" w:after="120" w:line="240" w:lineRule="auto"/>
        <w:jc w:val="both"/>
        <w:rPr>
          <w:rFonts w:ascii="Times New Roman" w:hAnsi="Times New Roman"/>
          <w:b/>
          <w:sz w:val="24"/>
        </w:rPr>
      </w:pPr>
      <w:r w:rsidRPr="006868C9">
        <w:rPr>
          <w:rFonts w:ascii="Times New Roman" w:hAnsi="Times New Roman"/>
          <w:b/>
          <w:sz w:val="24"/>
          <w:szCs w:val="24"/>
        </w:rPr>
        <w:t xml:space="preserve">В) </w:t>
      </w:r>
      <w:r w:rsidR="004B7B24" w:rsidRPr="006868C9">
        <w:rPr>
          <w:rFonts w:ascii="Times New Roman" w:hAnsi="Times New Roman"/>
          <w:b/>
          <w:sz w:val="24"/>
        </w:rPr>
        <w:t>Финансирането</w:t>
      </w:r>
      <w:r w:rsidR="00895D82" w:rsidRPr="006868C9">
        <w:rPr>
          <w:rFonts w:ascii="Times New Roman" w:hAnsi="Times New Roman"/>
          <w:b/>
          <w:sz w:val="24"/>
        </w:rPr>
        <w:t xml:space="preserve"> за кандидати</w:t>
      </w:r>
      <w:r w:rsidR="00895D82" w:rsidRPr="006868C9">
        <w:rPr>
          <w:rFonts w:ascii="Times New Roman" w:hAnsi="Times New Roman"/>
          <w:b/>
          <w:sz w:val="24"/>
          <w:u w:val="single"/>
        </w:rPr>
        <w:t>, които са публични органи или частни организации</w:t>
      </w:r>
      <w:r w:rsidR="004B7B24" w:rsidRPr="006868C9">
        <w:rPr>
          <w:rFonts w:ascii="Times New Roman" w:hAnsi="Times New Roman"/>
          <w:b/>
          <w:sz w:val="24"/>
        </w:rPr>
        <w:t xml:space="preserve"> представлява:</w:t>
      </w:r>
    </w:p>
    <w:p w14:paraId="5590B491" w14:textId="70BF17D1" w:rsidR="004B7B24" w:rsidRPr="006868C9" w:rsidRDefault="002A7526" w:rsidP="009A1C53">
      <w:pPr>
        <w:spacing w:before="120" w:after="120" w:line="240" w:lineRule="auto"/>
        <w:jc w:val="both"/>
        <w:rPr>
          <w:rFonts w:ascii="Times New Roman" w:hAnsi="Times New Roman"/>
          <w:sz w:val="24"/>
          <w:szCs w:val="24"/>
        </w:rPr>
      </w:pPr>
      <w:r w:rsidRPr="006868C9">
        <w:rPr>
          <w:rFonts w:ascii="Times New Roman" w:hAnsi="Times New Roman"/>
          <w:sz w:val="24"/>
          <w:szCs w:val="24"/>
        </w:rPr>
        <w:lastRenderedPageBreak/>
        <w:t>•</w:t>
      </w:r>
      <w:r w:rsidR="004B7B24" w:rsidRPr="006868C9">
        <w:rPr>
          <w:rFonts w:ascii="Times New Roman" w:hAnsi="Times New Roman"/>
          <w:sz w:val="24"/>
          <w:szCs w:val="24"/>
        </w:rPr>
        <w:t xml:space="preserve">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r w:rsidRPr="006868C9">
        <w:rPr>
          <w:rFonts w:ascii="Times New Roman" w:hAnsi="Times New Roman"/>
          <w:sz w:val="24"/>
          <w:szCs w:val="24"/>
          <w:vertAlign w:val="superscript"/>
        </w:rPr>
        <w:footnoteReference w:id="7"/>
      </w:r>
      <w:r w:rsidR="004B7B24" w:rsidRPr="006868C9">
        <w:rPr>
          <w:rFonts w:ascii="Times New Roman" w:hAnsi="Times New Roman"/>
          <w:sz w:val="24"/>
          <w:szCs w:val="24"/>
        </w:rPr>
        <w:t>;</w:t>
      </w:r>
    </w:p>
    <w:p w14:paraId="42640A63" w14:textId="221EA8C5" w:rsidR="00181616" w:rsidRPr="006868C9" w:rsidRDefault="002A7526" w:rsidP="009A1C53">
      <w:pPr>
        <w:jc w:val="both"/>
        <w:rPr>
          <w:rFonts w:ascii="Times New Roman" w:hAnsi="Times New Roman"/>
          <w:sz w:val="24"/>
          <w:szCs w:val="24"/>
        </w:rPr>
      </w:pPr>
      <w:r w:rsidRPr="006868C9">
        <w:rPr>
          <w:rFonts w:ascii="Times New Roman" w:hAnsi="Times New Roman"/>
          <w:sz w:val="24"/>
          <w:szCs w:val="24"/>
        </w:rPr>
        <w:t>•</w:t>
      </w:r>
      <w:r w:rsidR="004B7B24" w:rsidRPr="006868C9">
        <w:rPr>
          <w:rFonts w:ascii="Times New Roman" w:hAnsi="Times New Roman"/>
          <w:sz w:val="24"/>
          <w:szCs w:val="24"/>
        </w:rPr>
        <w:t xml:space="preserve"> помощ, поставена в зависимост от използване на местни (национално произведени стоки и услуги) за сметка на вносни стоки</w:t>
      </w:r>
      <w:r w:rsidRPr="006868C9">
        <w:rPr>
          <w:rFonts w:ascii="Times New Roman" w:hAnsi="Times New Roman"/>
          <w:sz w:val="24"/>
          <w:szCs w:val="24"/>
          <w:vertAlign w:val="superscript"/>
        </w:rPr>
        <w:footnoteReference w:id="8"/>
      </w:r>
      <w:r w:rsidR="00BC696D" w:rsidRPr="006868C9">
        <w:rPr>
          <w:rFonts w:ascii="Times New Roman" w:hAnsi="Times New Roman"/>
          <w:sz w:val="24"/>
          <w:szCs w:val="24"/>
        </w:rPr>
        <w:t>.</w:t>
      </w:r>
    </w:p>
    <w:p w14:paraId="187BD92B" w14:textId="77777777" w:rsidR="00BD1469" w:rsidRPr="006868C9" w:rsidRDefault="00BD1469" w:rsidP="00BD1469">
      <w:pPr>
        <w:jc w:val="both"/>
        <w:rPr>
          <w:rFonts w:ascii="Times New Roman" w:hAnsi="Times New Roman"/>
          <w:sz w:val="24"/>
          <w:szCs w:val="24"/>
        </w:rPr>
      </w:pPr>
      <w:r w:rsidRPr="006868C9">
        <w:rPr>
          <w:rFonts w:ascii="Times New Roman" w:hAnsi="Times New Roman"/>
          <w:sz w:val="24"/>
          <w:szCs w:val="24"/>
        </w:rPr>
        <w:t xml:space="preserve">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6868C9">
        <w:rPr>
          <w:rFonts w:ascii="Times New Roman" w:hAnsi="Times New Roman"/>
          <w:sz w:val="24"/>
          <w:szCs w:val="24"/>
        </w:rPr>
        <w:t>Административнопроцесуалния</w:t>
      </w:r>
      <w:proofErr w:type="spellEnd"/>
      <w:r w:rsidRPr="006868C9">
        <w:rPr>
          <w:rFonts w:ascii="Times New Roman" w:hAnsi="Times New Roman"/>
          <w:sz w:val="24"/>
          <w:szCs w:val="24"/>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624709C1" w14:textId="77777777" w:rsidR="00BD1469" w:rsidRPr="006868C9" w:rsidRDefault="00BD1469" w:rsidP="00BD1469">
      <w:pPr>
        <w:jc w:val="both"/>
        <w:rPr>
          <w:rFonts w:ascii="Times New Roman" w:hAnsi="Times New Roman"/>
          <w:sz w:val="24"/>
          <w:szCs w:val="24"/>
        </w:rPr>
      </w:pPr>
      <w:r w:rsidRPr="006868C9">
        <w:rPr>
          <w:rFonts w:ascii="Times New Roman" w:hAnsi="Times New Roman"/>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предоставяне на беззвездна финансова помощ по процедурата.</w:t>
      </w:r>
    </w:p>
    <w:p w14:paraId="32FF2AF4" w14:textId="77777777" w:rsidR="00BD1469" w:rsidRPr="006868C9" w:rsidRDefault="00BD1469" w:rsidP="009A1C53">
      <w:pPr>
        <w:jc w:val="both"/>
        <w:rPr>
          <w:rFonts w:ascii="Times New Roman" w:hAnsi="Times New Roman"/>
          <w:b/>
          <w:sz w:val="24"/>
        </w:rPr>
      </w:pPr>
    </w:p>
    <w:sectPr w:rsidR="00BD1469" w:rsidRPr="006868C9" w:rsidSect="003D74AB">
      <w:headerReference w:type="default" r:id="rId8"/>
      <w:footerReference w:type="default" r:id="rId9"/>
      <w:pgSz w:w="11906" w:h="16838"/>
      <w:pgMar w:top="993" w:right="99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394C9" w14:textId="77777777" w:rsidR="00044A63" w:rsidRDefault="00044A63" w:rsidP="007D773B">
      <w:pPr>
        <w:spacing w:after="0" w:line="240" w:lineRule="auto"/>
      </w:pPr>
      <w:r>
        <w:separator/>
      </w:r>
    </w:p>
  </w:endnote>
  <w:endnote w:type="continuationSeparator" w:id="0">
    <w:p w14:paraId="59D6F02D" w14:textId="77777777" w:rsidR="00044A63" w:rsidRDefault="00044A63" w:rsidP="007D773B">
      <w:pPr>
        <w:spacing w:after="0" w:line="240" w:lineRule="auto"/>
      </w:pPr>
      <w:r>
        <w:continuationSeparator/>
      </w:r>
    </w:p>
  </w:endnote>
  <w:endnote w:type="continuationNotice" w:id="1">
    <w:p w14:paraId="2671E00C" w14:textId="77777777" w:rsidR="00044A63" w:rsidRDefault="00044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08340"/>
      <w:docPartObj>
        <w:docPartGallery w:val="Page Numbers (Bottom of Page)"/>
        <w:docPartUnique/>
      </w:docPartObj>
    </w:sdtPr>
    <w:sdtEndPr>
      <w:rPr>
        <w:rFonts w:ascii="Times New Roman" w:hAnsi="Times New Roman"/>
        <w:noProof/>
      </w:rPr>
    </w:sdtEndPr>
    <w:sdtContent>
      <w:p w14:paraId="4E828273" w14:textId="4B9C744F" w:rsidR="00BA0AA1" w:rsidRDefault="00BA0AA1">
        <w:pPr>
          <w:pStyle w:val="Footer"/>
          <w:jc w:val="center"/>
        </w:pPr>
        <w:r w:rsidRPr="00BA0AA1">
          <w:rPr>
            <w:rFonts w:ascii="Times New Roman" w:hAnsi="Times New Roman"/>
          </w:rPr>
          <w:fldChar w:fldCharType="begin"/>
        </w:r>
        <w:r w:rsidRPr="00BA0AA1">
          <w:rPr>
            <w:rFonts w:ascii="Times New Roman" w:hAnsi="Times New Roman"/>
          </w:rPr>
          <w:instrText xml:space="preserve"> PAGE   \* MERGEFORMAT </w:instrText>
        </w:r>
        <w:r w:rsidRPr="00BA0AA1">
          <w:rPr>
            <w:rFonts w:ascii="Times New Roman" w:hAnsi="Times New Roman"/>
          </w:rPr>
          <w:fldChar w:fldCharType="separate"/>
        </w:r>
        <w:r w:rsidR="000530AA">
          <w:rPr>
            <w:rFonts w:ascii="Times New Roman" w:hAnsi="Times New Roman"/>
            <w:noProof/>
          </w:rPr>
          <w:t>4</w:t>
        </w:r>
        <w:r w:rsidRPr="00BA0AA1">
          <w:rPr>
            <w:rFonts w:ascii="Times New Roman" w:hAnsi="Times New Roman"/>
            <w:noProof/>
          </w:rPr>
          <w:fldChar w:fldCharType="end"/>
        </w:r>
      </w:p>
    </w:sdtContent>
  </w:sdt>
  <w:p w14:paraId="7BC952F1" w14:textId="77777777" w:rsidR="00BA0AA1" w:rsidRDefault="00BA0A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0B8E4" w14:textId="77777777" w:rsidR="00044A63" w:rsidRDefault="00044A63" w:rsidP="007D773B">
      <w:pPr>
        <w:spacing w:after="0" w:line="240" w:lineRule="auto"/>
      </w:pPr>
      <w:r>
        <w:separator/>
      </w:r>
    </w:p>
  </w:footnote>
  <w:footnote w:type="continuationSeparator" w:id="0">
    <w:p w14:paraId="04349912" w14:textId="77777777" w:rsidR="00044A63" w:rsidRDefault="00044A63" w:rsidP="007D773B">
      <w:pPr>
        <w:spacing w:after="0" w:line="240" w:lineRule="auto"/>
      </w:pPr>
      <w:r>
        <w:continuationSeparator/>
      </w:r>
    </w:p>
  </w:footnote>
  <w:footnote w:type="continuationNotice" w:id="1">
    <w:p w14:paraId="022A38B5" w14:textId="77777777" w:rsidR="00044A63" w:rsidRDefault="00044A63">
      <w:pPr>
        <w:spacing w:after="0" w:line="240" w:lineRule="auto"/>
      </w:pPr>
    </w:p>
  </w:footnote>
  <w:footnote w:id="2">
    <w:p w14:paraId="5D225852" w14:textId="77777777" w:rsidR="003D74AB" w:rsidRPr="00E165DC" w:rsidRDefault="003D74AB" w:rsidP="003D74AB">
      <w:pPr>
        <w:pStyle w:val="FootnoteText"/>
        <w:jc w:val="both"/>
        <w:rPr>
          <w:rFonts w:ascii="Times New Roman" w:hAnsi="Times New Roman"/>
        </w:rPr>
      </w:pPr>
      <w:r w:rsidRPr="00E165DC">
        <w:rPr>
          <w:rStyle w:val="FootnoteReference"/>
          <w:rFonts w:ascii="Times New Roman" w:hAnsi="Times New Roman"/>
        </w:rPr>
        <w:footnoteRef/>
      </w:r>
      <w:r w:rsidRPr="00E165DC">
        <w:rPr>
          <w:rFonts w:ascii="Times New Roman" w:hAnsi="Times New Roman"/>
        </w:rPr>
        <w:t xml:space="preserve">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аквакултури — за съвместими с вътрешния пазар в приложение на членове 107 и 108 от Договора</w:t>
      </w:r>
    </w:p>
  </w:footnote>
  <w:footnote w:id="3">
    <w:p w14:paraId="69E71364" w14:textId="77777777" w:rsidR="002A7526" w:rsidRPr="003D36D4" w:rsidRDefault="002A7526" w:rsidP="003D36D4">
      <w:pPr>
        <w:pStyle w:val="FootnoteText"/>
        <w:jc w:val="both"/>
        <w:rPr>
          <w:rFonts w:ascii="Times New Roman" w:hAnsi="Times New Roman"/>
        </w:rPr>
      </w:pPr>
      <w:r w:rsidRPr="003D36D4">
        <w:rPr>
          <w:rStyle w:val="FootnoteReference"/>
          <w:rFonts w:ascii="Times New Roman" w:hAnsi="Times New Roman"/>
        </w:rPr>
        <w:footnoteRef/>
      </w:r>
      <w:r w:rsidR="008F444F">
        <w:rPr>
          <w:rFonts w:ascii="Times New Roman" w:hAnsi="Times New Roman"/>
        </w:rPr>
        <w:t xml:space="preserve"> Съгласно чл.1, пар.</w:t>
      </w:r>
      <w:r w:rsidRPr="003D36D4">
        <w:rPr>
          <w:rFonts w:ascii="Times New Roman" w:hAnsi="Times New Roman"/>
        </w:rPr>
        <w:t>4, б.</w:t>
      </w:r>
      <w:r w:rsidR="008F444F">
        <w:rPr>
          <w:rFonts w:ascii="Times New Roman" w:hAnsi="Times New Roman"/>
          <w:lang w:val="en-US"/>
        </w:rPr>
        <w:t xml:space="preserve"> </w:t>
      </w:r>
      <w:r w:rsidRPr="003D36D4">
        <w:rPr>
          <w:rFonts w:ascii="Times New Roman" w:hAnsi="Times New Roman"/>
        </w:rPr>
        <w:t>а) от Регламент на Комисията (ЕС) № 651/2014г.</w:t>
      </w:r>
    </w:p>
  </w:footnote>
  <w:footnote w:id="4">
    <w:p w14:paraId="7E4C037B" w14:textId="77777777" w:rsidR="002A7526" w:rsidRPr="003D36D4" w:rsidRDefault="002A7526" w:rsidP="003D36D4">
      <w:pPr>
        <w:pStyle w:val="FootnoteText"/>
        <w:jc w:val="both"/>
        <w:rPr>
          <w:rFonts w:ascii="Times New Roman" w:hAnsi="Times New Roman"/>
        </w:rPr>
      </w:pPr>
      <w:r w:rsidRPr="003D36D4">
        <w:rPr>
          <w:rStyle w:val="FootnoteReference"/>
          <w:rFonts w:ascii="Times New Roman" w:hAnsi="Times New Roman"/>
        </w:rPr>
        <w:footnoteRef/>
      </w:r>
      <w:r w:rsidRPr="003D36D4">
        <w:rPr>
          <w:rFonts w:ascii="Times New Roman" w:hAnsi="Times New Roman"/>
        </w:rPr>
        <w:t xml:space="preserve"> Проверка по отношение на обстоятелството дали кандидатите (и на ниво група) попадат в определението</w:t>
      </w:r>
      <w:r w:rsidR="008F444F">
        <w:rPr>
          <w:rFonts w:ascii="Times New Roman" w:hAnsi="Times New Roman"/>
        </w:rPr>
        <w:t xml:space="preserve"> за затруднено положение по чл.</w:t>
      </w:r>
      <w:r w:rsidRPr="003D36D4">
        <w:rPr>
          <w:rFonts w:ascii="Times New Roman" w:hAnsi="Times New Roman"/>
        </w:rPr>
        <w:t>2, пар.18 от Регламент (ЕС) № 651/2014 ще бъде извършвана спрямо всички кандидати съгласно данни от Декларацията за минимални/държавни помощи, удостоверение за актуално състояние, налична информация в публичните регистри (вкл. ТР</w:t>
      </w:r>
      <w:r w:rsidRPr="003D36D4">
        <w:rPr>
          <w:rFonts w:ascii="Times New Roman" w:hAnsi="Times New Roman"/>
          <w:sz w:val="22"/>
          <w:szCs w:val="22"/>
        </w:rPr>
        <w:t xml:space="preserve"> </w:t>
      </w:r>
      <w:r w:rsidRPr="003D36D4">
        <w:rPr>
          <w:rFonts w:ascii="Times New Roman" w:hAnsi="Times New Roman"/>
        </w:rPr>
        <w:t>и регистър на ЮЛНЦ) и Годишен отчет за дейността за последните три приключени финансови  години (2019, 2020 и 2021 г.)</w:t>
      </w:r>
    </w:p>
  </w:footnote>
  <w:footnote w:id="5">
    <w:p w14:paraId="5D373026" w14:textId="7B9E02D9" w:rsidR="00A737F2" w:rsidRPr="00485F72" w:rsidRDefault="00A737F2" w:rsidP="00A737F2">
      <w:pPr>
        <w:pStyle w:val="FootnoteText"/>
        <w:jc w:val="both"/>
        <w:rPr>
          <w:rFonts w:ascii="Times New Roman" w:hAnsi="Times New Roman"/>
        </w:rPr>
      </w:pPr>
      <w:r w:rsidRPr="00485F72">
        <w:rPr>
          <w:rStyle w:val="FootnoteReference"/>
          <w:rFonts w:ascii="Times New Roman" w:hAnsi="Times New Roman"/>
        </w:rPr>
        <w:footnoteRef/>
      </w:r>
      <w:r w:rsidRPr="00485F72">
        <w:rPr>
          <w:rFonts w:ascii="Times New Roman" w:hAnsi="Times New Roman"/>
        </w:rPr>
        <w:t xml:space="preserve"> Директива 2013/34/ЕС на Европейския парламент и на Съвета от 26 юни 2013 г. относно годишните финансови отчети, консолидираните финансови отчети и свързаните доклади на някои видове предприятия и за изменение на Директива 2006/43/ЕО на Европейския парламент и на Съвета и за отмяна на Директиви 78/660/ЕИО и 83/349/ЕИО на Съвета (</w:t>
      </w:r>
      <w:r w:rsidRPr="00BB61A4">
        <w:rPr>
          <w:rFonts w:ascii="Times New Roman" w:hAnsi="Times New Roman"/>
        </w:rPr>
        <w:t>ОВ L 182, 29.6.2013 г., стр. 19</w:t>
      </w:r>
      <w:r w:rsidRPr="00485F72">
        <w:rPr>
          <w:rFonts w:ascii="Times New Roman" w:hAnsi="Times New Roman"/>
        </w:rPr>
        <w:t>).</w:t>
      </w:r>
    </w:p>
  </w:footnote>
  <w:footnote w:id="6">
    <w:p w14:paraId="422838FA" w14:textId="77777777" w:rsidR="002A7526" w:rsidRPr="003D36D4" w:rsidRDefault="002A7526" w:rsidP="003D36D4">
      <w:pPr>
        <w:pStyle w:val="FootnoteText"/>
        <w:jc w:val="both"/>
        <w:rPr>
          <w:rFonts w:ascii="Times New Roman" w:hAnsi="Times New Roman"/>
        </w:rPr>
      </w:pPr>
      <w:r w:rsidRPr="003D36D4">
        <w:rPr>
          <w:rStyle w:val="FootnoteReference"/>
          <w:rFonts w:ascii="Times New Roman" w:hAnsi="Times New Roman"/>
        </w:rPr>
        <w:footnoteRef/>
      </w:r>
      <w:r w:rsidRPr="003D36D4">
        <w:rPr>
          <w:rFonts w:ascii="Times New Roman" w:hAnsi="Times New Roman"/>
        </w:rPr>
        <w:t xml:space="preserve"> Съгласно данните от формуляра „Счетоводен баланс“ на предприятието-кандидат, част от Годишния отчет за дейността, подаден към НСИ, за последната приключена финансова година.</w:t>
      </w:r>
    </w:p>
  </w:footnote>
  <w:footnote w:id="7">
    <w:p w14:paraId="72D1EB34" w14:textId="77777777" w:rsidR="002A7526" w:rsidRPr="003D36D4" w:rsidRDefault="002A7526" w:rsidP="002A7526">
      <w:pPr>
        <w:pStyle w:val="FootnoteText"/>
        <w:rPr>
          <w:rFonts w:ascii="Times New Roman" w:hAnsi="Times New Roman"/>
        </w:rPr>
      </w:pPr>
      <w:r w:rsidRPr="003D36D4">
        <w:rPr>
          <w:rStyle w:val="FootnoteReference"/>
          <w:rFonts w:ascii="Times New Roman" w:hAnsi="Times New Roman"/>
        </w:rPr>
        <w:footnoteRef/>
      </w:r>
      <w:r w:rsidRPr="003D36D4">
        <w:rPr>
          <w:rFonts w:ascii="Times New Roman" w:hAnsi="Times New Roman"/>
        </w:rPr>
        <w:t xml:space="preserve"> Съгласно чл.1, пар.2, б. в) от Регламент на Комисията (ЕС) № 651/2014г.</w:t>
      </w:r>
    </w:p>
  </w:footnote>
  <w:footnote w:id="8">
    <w:p w14:paraId="3D420572" w14:textId="77777777" w:rsidR="002A7526" w:rsidRPr="003D36D4" w:rsidRDefault="002A7526" w:rsidP="002A7526">
      <w:pPr>
        <w:pStyle w:val="FootnoteText"/>
        <w:rPr>
          <w:rFonts w:ascii="Times New Roman" w:hAnsi="Times New Roman"/>
        </w:rPr>
      </w:pPr>
      <w:r w:rsidRPr="003D36D4">
        <w:rPr>
          <w:rStyle w:val="FootnoteReference"/>
          <w:rFonts w:ascii="Times New Roman" w:hAnsi="Times New Roman"/>
        </w:rPr>
        <w:footnoteRef/>
      </w:r>
      <w:r w:rsidRPr="003D36D4">
        <w:rPr>
          <w:rFonts w:ascii="Times New Roman" w:hAnsi="Times New Roman"/>
        </w:rPr>
        <w:t xml:space="preserve"> Съгласно чл.1, пар.2, б. г) от Регламент на Комисията (ЕС) № 651/2014г.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48"/>
      <w:gridCol w:w="4748"/>
    </w:tblGrid>
    <w:tr w:rsidR="00BB61A4" w:rsidRPr="00BB61A4" w14:paraId="5DB37C6A" w14:textId="77777777" w:rsidTr="00D438C0">
      <w:tc>
        <w:tcPr>
          <w:tcW w:w="4748" w:type="dxa"/>
        </w:tcPr>
        <w:p w14:paraId="5ADFBB9B" w14:textId="77777777" w:rsidR="00BB61A4" w:rsidRPr="00BB61A4" w:rsidRDefault="00BB61A4" w:rsidP="00BB61A4">
          <w:pPr>
            <w:pStyle w:val="Header"/>
          </w:pPr>
          <w:r w:rsidRPr="00BB61A4">
            <w:rPr>
              <w:i/>
              <w:noProof/>
            </w:rPr>
            <w:drawing>
              <wp:inline distT="0" distB="0" distL="0" distR="0" wp14:anchorId="49B8DF59" wp14:editId="545D484D">
                <wp:extent cx="2009775" cy="46609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542D0206" w14:textId="77777777" w:rsidR="00BB61A4" w:rsidRPr="00BB61A4" w:rsidRDefault="00BB61A4" w:rsidP="00BB61A4">
          <w:pPr>
            <w:pStyle w:val="Header"/>
          </w:pPr>
          <w:r w:rsidRPr="00BB61A4">
            <w:rPr>
              <w:noProof/>
            </w:rPr>
            <w:drawing>
              <wp:inline distT="0" distB="0" distL="0" distR="0" wp14:anchorId="19AB8C30" wp14:editId="652DDB96">
                <wp:extent cx="23145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04C0B503" w14:textId="3E16C273" w:rsidR="00CF69E3" w:rsidRDefault="00CF69E3" w:rsidP="00BB61A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649EF"/>
    <w:multiLevelType w:val="hybridMultilevel"/>
    <w:tmpl w:val="1E22831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C2C"/>
    <w:rsid w:val="00014535"/>
    <w:rsid w:val="00014939"/>
    <w:rsid w:val="00017DD1"/>
    <w:rsid w:val="00021894"/>
    <w:rsid w:val="00042D0E"/>
    <w:rsid w:val="00042EE0"/>
    <w:rsid w:val="00044A63"/>
    <w:rsid w:val="000530AA"/>
    <w:rsid w:val="00053778"/>
    <w:rsid w:val="00091101"/>
    <w:rsid w:val="000948D6"/>
    <w:rsid w:val="000C5D84"/>
    <w:rsid w:val="000D2394"/>
    <w:rsid w:val="000D6CD3"/>
    <w:rsid w:val="00105A74"/>
    <w:rsid w:val="00113C16"/>
    <w:rsid w:val="0011765B"/>
    <w:rsid w:val="00134330"/>
    <w:rsid w:val="00153909"/>
    <w:rsid w:val="00163645"/>
    <w:rsid w:val="001775F8"/>
    <w:rsid w:val="00181616"/>
    <w:rsid w:val="001F49EC"/>
    <w:rsid w:val="00212471"/>
    <w:rsid w:val="00224B83"/>
    <w:rsid w:val="0025719F"/>
    <w:rsid w:val="00262125"/>
    <w:rsid w:val="002652DE"/>
    <w:rsid w:val="002705A7"/>
    <w:rsid w:val="00294D9F"/>
    <w:rsid w:val="002A7526"/>
    <w:rsid w:val="002B159B"/>
    <w:rsid w:val="002C1335"/>
    <w:rsid w:val="002D4842"/>
    <w:rsid w:val="002E6E78"/>
    <w:rsid w:val="00313DE9"/>
    <w:rsid w:val="003359CF"/>
    <w:rsid w:val="00351EAC"/>
    <w:rsid w:val="003546E3"/>
    <w:rsid w:val="0036335D"/>
    <w:rsid w:val="00375580"/>
    <w:rsid w:val="0039156A"/>
    <w:rsid w:val="003A08DF"/>
    <w:rsid w:val="003B1AA6"/>
    <w:rsid w:val="003B37B3"/>
    <w:rsid w:val="003C1D8A"/>
    <w:rsid w:val="003C4B39"/>
    <w:rsid w:val="003D36D4"/>
    <w:rsid w:val="003D74AB"/>
    <w:rsid w:val="0042177F"/>
    <w:rsid w:val="0042382C"/>
    <w:rsid w:val="00466EDA"/>
    <w:rsid w:val="00472D06"/>
    <w:rsid w:val="00476417"/>
    <w:rsid w:val="00490A59"/>
    <w:rsid w:val="00496E34"/>
    <w:rsid w:val="004B7B24"/>
    <w:rsid w:val="004C3B19"/>
    <w:rsid w:val="004E7047"/>
    <w:rsid w:val="004F0A5B"/>
    <w:rsid w:val="004F7112"/>
    <w:rsid w:val="00521BF0"/>
    <w:rsid w:val="00546539"/>
    <w:rsid w:val="0055682F"/>
    <w:rsid w:val="005578E9"/>
    <w:rsid w:val="00597FDB"/>
    <w:rsid w:val="005C6B67"/>
    <w:rsid w:val="005D1097"/>
    <w:rsid w:val="005D3E9F"/>
    <w:rsid w:val="005E4168"/>
    <w:rsid w:val="005F7216"/>
    <w:rsid w:val="0060086F"/>
    <w:rsid w:val="00601BF3"/>
    <w:rsid w:val="00633EDF"/>
    <w:rsid w:val="00635211"/>
    <w:rsid w:val="00636C0F"/>
    <w:rsid w:val="00641597"/>
    <w:rsid w:val="006660BB"/>
    <w:rsid w:val="0067069C"/>
    <w:rsid w:val="00677537"/>
    <w:rsid w:val="006868C9"/>
    <w:rsid w:val="006B37C9"/>
    <w:rsid w:val="006C5F44"/>
    <w:rsid w:val="006E7803"/>
    <w:rsid w:val="00710193"/>
    <w:rsid w:val="00720B38"/>
    <w:rsid w:val="00766D95"/>
    <w:rsid w:val="0077559E"/>
    <w:rsid w:val="007845B5"/>
    <w:rsid w:val="007B2F5B"/>
    <w:rsid w:val="007D1FAD"/>
    <w:rsid w:val="007D773B"/>
    <w:rsid w:val="00825989"/>
    <w:rsid w:val="008759F3"/>
    <w:rsid w:val="008873A7"/>
    <w:rsid w:val="00895D82"/>
    <w:rsid w:val="008A267B"/>
    <w:rsid w:val="008A7829"/>
    <w:rsid w:val="008C4478"/>
    <w:rsid w:val="008E1C92"/>
    <w:rsid w:val="008E349B"/>
    <w:rsid w:val="008F444F"/>
    <w:rsid w:val="00911C96"/>
    <w:rsid w:val="0091686F"/>
    <w:rsid w:val="00917877"/>
    <w:rsid w:val="009341F9"/>
    <w:rsid w:val="0093490C"/>
    <w:rsid w:val="00937DF4"/>
    <w:rsid w:val="00941C4E"/>
    <w:rsid w:val="00945328"/>
    <w:rsid w:val="00954589"/>
    <w:rsid w:val="009561B1"/>
    <w:rsid w:val="009640FF"/>
    <w:rsid w:val="0097620D"/>
    <w:rsid w:val="009765AA"/>
    <w:rsid w:val="00984DD5"/>
    <w:rsid w:val="00987A62"/>
    <w:rsid w:val="009A1C53"/>
    <w:rsid w:val="009A55AA"/>
    <w:rsid w:val="009B1082"/>
    <w:rsid w:val="009C3C35"/>
    <w:rsid w:val="009C635F"/>
    <w:rsid w:val="009E3C2C"/>
    <w:rsid w:val="009E7AB1"/>
    <w:rsid w:val="009F0F74"/>
    <w:rsid w:val="009F5DB7"/>
    <w:rsid w:val="00A22952"/>
    <w:rsid w:val="00A3243B"/>
    <w:rsid w:val="00A737F2"/>
    <w:rsid w:val="00A97F79"/>
    <w:rsid w:val="00AC6EC7"/>
    <w:rsid w:val="00AC7120"/>
    <w:rsid w:val="00AE33BA"/>
    <w:rsid w:val="00B171E7"/>
    <w:rsid w:val="00B21F70"/>
    <w:rsid w:val="00B22978"/>
    <w:rsid w:val="00B23385"/>
    <w:rsid w:val="00B56968"/>
    <w:rsid w:val="00B969A1"/>
    <w:rsid w:val="00BA0AA1"/>
    <w:rsid w:val="00BB0310"/>
    <w:rsid w:val="00BB4E5E"/>
    <w:rsid w:val="00BB61A4"/>
    <w:rsid w:val="00BC03FB"/>
    <w:rsid w:val="00BC696D"/>
    <w:rsid w:val="00BC7661"/>
    <w:rsid w:val="00BD1469"/>
    <w:rsid w:val="00BE6A00"/>
    <w:rsid w:val="00BF06A2"/>
    <w:rsid w:val="00BF0F93"/>
    <w:rsid w:val="00C008DD"/>
    <w:rsid w:val="00C572E2"/>
    <w:rsid w:val="00C971CB"/>
    <w:rsid w:val="00CA1FD7"/>
    <w:rsid w:val="00CA62F1"/>
    <w:rsid w:val="00CA6642"/>
    <w:rsid w:val="00CC089A"/>
    <w:rsid w:val="00CC1F6E"/>
    <w:rsid w:val="00CD3D52"/>
    <w:rsid w:val="00CD43CA"/>
    <w:rsid w:val="00CD68F7"/>
    <w:rsid w:val="00CF69E3"/>
    <w:rsid w:val="00D1317F"/>
    <w:rsid w:val="00D15597"/>
    <w:rsid w:val="00D24810"/>
    <w:rsid w:val="00D47032"/>
    <w:rsid w:val="00D81E32"/>
    <w:rsid w:val="00D836A7"/>
    <w:rsid w:val="00D86867"/>
    <w:rsid w:val="00D92E0B"/>
    <w:rsid w:val="00DB00A3"/>
    <w:rsid w:val="00DD1067"/>
    <w:rsid w:val="00E10F0C"/>
    <w:rsid w:val="00E12112"/>
    <w:rsid w:val="00E132EB"/>
    <w:rsid w:val="00E1363B"/>
    <w:rsid w:val="00E426FE"/>
    <w:rsid w:val="00E51700"/>
    <w:rsid w:val="00E5629D"/>
    <w:rsid w:val="00E632CD"/>
    <w:rsid w:val="00E67DE5"/>
    <w:rsid w:val="00F01863"/>
    <w:rsid w:val="00F35E4C"/>
    <w:rsid w:val="00F41A42"/>
    <w:rsid w:val="00F42203"/>
    <w:rsid w:val="00F448CD"/>
    <w:rsid w:val="00F547D4"/>
    <w:rsid w:val="00F65D85"/>
    <w:rsid w:val="00FA0264"/>
    <w:rsid w:val="00FF4E4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06608EC"/>
  <w15:chartTrackingRefBased/>
  <w15:docId w15:val="{811ECD2C-3309-454C-8FF3-6A222D2E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szCs w:val="16"/>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3D74AB"/>
    <w:pPr>
      <w:spacing w:after="0" w:line="240" w:lineRule="auto"/>
    </w:pPr>
    <w:rPr>
      <w:szCs w:val="20"/>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7D773B"/>
    <w:rPr>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7D773B"/>
    <w:rPr>
      <w:vertAlign w:val="superscript"/>
    </w:rPr>
  </w:style>
  <w:style w:type="paragraph" w:styleId="ListParagraph">
    <w:name w:val="List Paragraph"/>
    <w:basedOn w:val="Normal"/>
    <w:uiPriority w:val="34"/>
    <w:qFormat/>
    <w:rsid w:val="00153909"/>
    <w:pPr>
      <w:ind w:left="720"/>
      <w:contextualSpacing/>
    </w:pPr>
  </w:style>
  <w:style w:type="character" w:styleId="CommentReference">
    <w:name w:val="annotation reference"/>
    <w:basedOn w:val="DefaultParagraphFont"/>
    <w:uiPriority w:val="99"/>
    <w:unhideWhenUsed/>
    <w:rsid w:val="003D74AB"/>
    <w:rPr>
      <w:sz w:val="16"/>
      <w:szCs w:val="16"/>
    </w:rPr>
  </w:style>
  <w:style w:type="paragraph" w:styleId="CommentText">
    <w:name w:val="annotation text"/>
    <w:basedOn w:val="Normal"/>
    <w:link w:val="CommentTextChar"/>
    <w:uiPriority w:val="99"/>
    <w:unhideWhenUsed/>
    <w:rsid w:val="003D74AB"/>
    <w:pPr>
      <w:spacing w:line="240" w:lineRule="auto"/>
    </w:pPr>
    <w:rPr>
      <w:szCs w:val="20"/>
    </w:rPr>
  </w:style>
  <w:style w:type="character" w:customStyle="1" w:styleId="CommentTextChar">
    <w:name w:val="Comment Text Char"/>
    <w:basedOn w:val="DefaultParagraphFont"/>
    <w:link w:val="CommentText"/>
    <w:uiPriority w:val="99"/>
    <w:rsid w:val="00601BF3"/>
    <w:rPr>
      <w:szCs w:val="20"/>
    </w:rPr>
  </w:style>
  <w:style w:type="paragraph" w:styleId="CommentSubject">
    <w:name w:val="annotation subject"/>
    <w:basedOn w:val="CommentText"/>
    <w:next w:val="CommentText"/>
    <w:link w:val="CommentSubjectChar"/>
    <w:uiPriority w:val="99"/>
    <w:semiHidden/>
    <w:unhideWhenUsed/>
    <w:rsid w:val="00601BF3"/>
    <w:rPr>
      <w:b/>
      <w:bCs/>
    </w:rPr>
  </w:style>
  <w:style w:type="character" w:customStyle="1" w:styleId="CommentSubjectChar">
    <w:name w:val="Comment Subject Char"/>
    <w:basedOn w:val="CommentTextChar"/>
    <w:link w:val="CommentSubject"/>
    <w:uiPriority w:val="99"/>
    <w:semiHidden/>
    <w:rsid w:val="00601BF3"/>
    <w:rPr>
      <w:b/>
      <w:bCs/>
      <w:szCs w:val="20"/>
    </w:rPr>
  </w:style>
  <w:style w:type="paragraph" w:styleId="BalloonText">
    <w:name w:val="Balloon Text"/>
    <w:basedOn w:val="Normal"/>
    <w:link w:val="BalloonTextChar"/>
    <w:uiPriority w:val="99"/>
    <w:semiHidden/>
    <w:unhideWhenUsed/>
    <w:rsid w:val="00601B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BF3"/>
    <w:rPr>
      <w:rFonts w:ascii="Segoe UI" w:hAnsi="Segoe UI" w:cs="Segoe UI"/>
      <w:sz w:val="18"/>
      <w:szCs w:val="18"/>
    </w:rPr>
  </w:style>
  <w:style w:type="paragraph" w:styleId="Header">
    <w:name w:val="header"/>
    <w:basedOn w:val="Normal"/>
    <w:link w:val="HeaderChar"/>
    <w:uiPriority w:val="99"/>
    <w:unhideWhenUsed/>
    <w:rsid w:val="00BA0A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BA0AA1"/>
  </w:style>
  <w:style w:type="paragraph" w:styleId="Footer">
    <w:name w:val="footer"/>
    <w:basedOn w:val="Normal"/>
    <w:link w:val="FooterChar"/>
    <w:uiPriority w:val="99"/>
    <w:unhideWhenUsed/>
    <w:rsid w:val="00BA0A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A0AA1"/>
  </w:style>
  <w:style w:type="table" w:styleId="TableGrid">
    <w:name w:val="Table Grid"/>
    <w:basedOn w:val="TableNormal"/>
    <w:uiPriority w:val="39"/>
    <w:rsid w:val="001775F8"/>
    <w:pPr>
      <w:widowControl w:val="0"/>
      <w:autoSpaceDE w:val="0"/>
      <w:autoSpaceDN w:val="0"/>
      <w:spacing w:after="0" w:line="240" w:lineRule="auto"/>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10F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826173">
      <w:bodyDiv w:val="1"/>
      <w:marLeft w:val="0"/>
      <w:marRight w:val="0"/>
      <w:marTop w:val="0"/>
      <w:marBottom w:val="0"/>
      <w:divBdr>
        <w:top w:val="none" w:sz="0" w:space="0" w:color="auto"/>
        <w:left w:val="none" w:sz="0" w:space="0" w:color="auto"/>
        <w:bottom w:val="none" w:sz="0" w:space="0" w:color="auto"/>
        <w:right w:val="none" w:sz="0" w:space="0" w:color="auto"/>
      </w:divBdr>
      <w:divsChild>
        <w:div w:id="1967153148">
          <w:marLeft w:val="0"/>
          <w:marRight w:val="0"/>
          <w:marTop w:val="0"/>
          <w:marBottom w:val="0"/>
          <w:divBdr>
            <w:top w:val="none" w:sz="0" w:space="0" w:color="auto"/>
            <w:left w:val="none" w:sz="0" w:space="0" w:color="auto"/>
            <w:bottom w:val="none" w:sz="0" w:space="0" w:color="auto"/>
            <w:right w:val="none" w:sz="0" w:space="0" w:color="auto"/>
          </w:divBdr>
          <w:divsChild>
            <w:div w:id="415593296">
              <w:marLeft w:val="0"/>
              <w:marRight w:val="0"/>
              <w:marTop w:val="0"/>
              <w:marBottom w:val="0"/>
              <w:divBdr>
                <w:top w:val="none" w:sz="0" w:space="0" w:color="auto"/>
                <w:left w:val="none" w:sz="0" w:space="0" w:color="auto"/>
                <w:bottom w:val="none" w:sz="0" w:space="0" w:color="auto"/>
                <w:right w:val="none" w:sz="0" w:space="0" w:color="auto"/>
              </w:divBdr>
            </w:div>
          </w:divsChild>
        </w:div>
        <w:div w:id="197157716">
          <w:marLeft w:val="0"/>
          <w:marRight w:val="0"/>
          <w:marTop w:val="0"/>
          <w:marBottom w:val="0"/>
          <w:divBdr>
            <w:top w:val="none" w:sz="0" w:space="0" w:color="auto"/>
            <w:left w:val="none" w:sz="0" w:space="0" w:color="auto"/>
            <w:bottom w:val="none" w:sz="0" w:space="0" w:color="auto"/>
            <w:right w:val="none" w:sz="0" w:space="0" w:color="auto"/>
          </w:divBdr>
          <w:divsChild>
            <w:div w:id="1645505334">
              <w:marLeft w:val="0"/>
              <w:marRight w:val="0"/>
              <w:marTop w:val="0"/>
              <w:marBottom w:val="0"/>
              <w:divBdr>
                <w:top w:val="none" w:sz="0" w:space="0" w:color="auto"/>
                <w:left w:val="none" w:sz="0" w:space="0" w:color="auto"/>
                <w:bottom w:val="none" w:sz="0" w:space="0" w:color="auto"/>
                <w:right w:val="none" w:sz="0" w:space="0" w:color="auto"/>
              </w:divBdr>
            </w:div>
          </w:divsChild>
        </w:div>
        <w:div w:id="1708945092">
          <w:marLeft w:val="0"/>
          <w:marRight w:val="0"/>
          <w:marTop w:val="0"/>
          <w:marBottom w:val="0"/>
          <w:divBdr>
            <w:top w:val="none" w:sz="0" w:space="0" w:color="auto"/>
            <w:left w:val="none" w:sz="0" w:space="0" w:color="auto"/>
            <w:bottom w:val="none" w:sz="0" w:space="0" w:color="auto"/>
            <w:right w:val="none" w:sz="0" w:space="0" w:color="auto"/>
          </w:divBdr>
          <w:divsChild>
            <w:div w:id="736786106">
              <w:marLeft w:val="0"/>
              <w:marRight w:val="0"/>
              <w:marTop w:val="0"/>
              <w:marBottom w:val="0"/>
              <w:divBdr>
                <w:top w:val="none" w:sz="0" w:space="0" w:color="auto"/>
                <w:left w:val="none" w:sz="0" w:space="0" w:color="auto"/>
                <w:bottom w:val="none" w:sz="0" w:space="0" w:color="auto"/>
                <w:right w:val="none" w:sz="0" w:space="0" w:color="auto"/>
              </w:divBdr>
            </w:div>
          </w:divsChild>
        </w:div>
        <w:div w:id="1794863008">
          <w:marLeft w:val="0"/>
          <w:marRight w:val="0"/>
          <w:marTop w:val="0"/>
          <w:marBottom w:val="0"/>
          <w:divBdr>
            <w:top w:val="none" w:sz="0" w:space="0" w:color="auto"/>
            <w:left w:val="none" w:sz="0" w:space="0" w:color="auto"/>
            <w:bottom w:val="none" w:sz="0" w:space="0" w:color="auto"/>
            <w:right w:val="none" w:sz="0" w:space="0" w:color="auto"/>
          </w:divBdr>
          <w:divsChild>
            <w:div w:id="1828588788">
              <w:marLeft w:val="0"/>
              <w:marRight w:val="0"/>
              <w:marTop w:val="0"/>
              <w:marBottom w:val="0"/>
              <w:divBdr>
                <w:top w:val="none" w:sz="0" w:space="0" w:color="auto"/>
                <w:left w:val="none" w:sz="0" w:space="0" w:color="auto"/>
                <w:bottom w:val="none" w:sz="0" w:space="0" w:color="auto"/>
                <w:right w:val="none" w:sz="0" w:space="0" w:color="auto"/>
              </w:divBdr>
            </w:div>
          </w:divsChild>
        </w:div>
        <w:div w:id="1094478437">
          <w:marLeft w:val="0"/>
          <w:marRight w:val="0"/>
          <w:marTop w:val="0"/>
          <w:marBottom w:val="0"/>
          <w:divBdr>
            <w:top w:val="none" w:sz="0" w:space="0" w:color="auto"/>
            <w:left w:val="none" w:sz="0" w:space="0" w:color="auto"/>
            <w:bottom w:val="none" w:sz="0" w:space="0" w:color="auto"/>
            <w:right w:val="none" w:sz="0" w:space="0" w:color="auto"/>
          </w:divBdr>
          <w:divsChild>
            <w:div w:id="9988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441320">
      <w:bodyDiv w:val="1"/>
      <w:marLeft w:val="0"/>
      <w:marRight w:val="0"/>
      <w:marTop w:val="0"/>
      <w:marBottom w:val="0"/>
      <w:divBdr>
        <w:top w:val="none" w:sz="0" w:space="0" w:color="auto"/>
        <w:left w:val="none" w:sz="0" w:space="0" w:color="auto"/>
        <w:bottom w:val="none" w:sz="0" w:space="0" w:color="auto"/>
        <w:right w:val="none" w:sz="0" w:space="0" w:color="auto"/>
      </w:divBdr>
      <w:divsChild>
        <w:div w:id="1179540247">
          <w:marLeft w:val="0"/>
          <w:marRight w:val="0"/>
          <w:marTop w:val="0"/>
          <w:marBottom w:val="0"/>
          <w:divBdr>
            <w:top w:val="none" w:sz="0" w:space="0" w:color="auto"/>
            <w:left w:val="none" w:sz="0" w:space="0" w:color="auto"/>
            <w:bottom w:val="none" w:sz="0" w:space="0" w:color="auto"/>
            <w:right w:val="none" w:sz="0" w:space="0" w:color="auto"/>
          </w:divBdr>
          <w:divsChild>
            <w:div w:id="456408520">
              <w:marLeft w:val="0"/>
              <w:marRight w:val="0"/>
              <w:marTop w:val="0"/>
              <w:marBottom w:val="0"/>
              <w:divBdr>
                <w:top w:val="none" w:sz="0" w:space="0" w:color="auto"/>
                <w:left w:val="none" w:sz="0" w:space="0" w:color="auto"/>
                <w:bottom w:val="none" w:sz="0" w:space="0" w:color="auto"/>
                <w:right w:val="none" w:sz="0" w:space="0" w:color="auto"/>
              </w:divBdr>
            </w:div>
          </w:divsChild>
        </w:div>
        <w:div w:id="665475784">
          <w:marLeft w:val="0"/>
          <w:marRight w:val="0"/>
          <w:marTop w:val="0"/>
          <w:marBottom w:val="0"/>
          <w:divBdr>
            <w:top w:val="none" w:sz="0" w:space="0" w:color="auto"/>
            <w:left w:val="none" w:sz="0" w:space="0" w:color="auto"/>
            <w:bottom w:val="none" w:sz="0" w:space="0" w:color="auto"/>
            <w:right w:val="none" w:sz="0" w:space="0" w:color="auto"/>
          </w:divBdr>
          <w:divsChild>
            <w:div w:id="525487364">
              <w:marLeft w:val="0"/>
              <w:marRight w:val="0"/>
              <w:marTop w:val="0"/>
              <w:marBottom w:val="0"/>
              <w:divBdr>
                <w:top w:val="none" w:sz="0" w:space="0" w:color="auto"/>
                <w:left w:val="none" w:sz="0" w:space="0" w:color="auto"/>
                <w:bottom w:val="none" w:sz="0" w:space="0" w:color="auto"/>
                <w:right w:val="none" w:sz="0" w:space="0" w:color="auto"/>
              </w:divBdr>
            </w:div>
          </w:divsChild>
        </w:div>
        <w:div w:id="36853533">
          <w:marLeft w:val="0"/>
          <w:marRight w:val="0"/>
          <w:marTop w:val="0"/>
          <w:marBottom w:val="0"/>
          <w:divBdr>
            <w:top w:val="none" w:sz="0" w:space="0" w:color="auto"/>
            <w:left w:val="none" w:sz="0" w:space="0" w:color="auto"/>
            <w:bottom w:val="none" w:sz="0" w:space="0" w:color="auto"/>
            <w:right w:val="none" w:sz="0" w:space="0" w:color="auto"/>
          </w:divBdr>
          <w:divsChild>
            <w:div w:id="1177386943">
              <w:marLeft w:val="0"/>
              <w:marRight w:val="0"/>
              <w:marTop w:val="0"/>
              <w:marBottom w:val="0"/>
              <w:divBdr>
                <w:top w:val="none" w:sz="0" w:space="0" w:color="auto"/>
                <w:left w:val="none" w:sz="0" w:space="0" w:color="auto"/>
                <w:bottom w:val="none" w:sz="0" w:space="0" w:color="auto"/>
                <w:right w:val="none" w:sz="0" w:space="0" w:color="auto"/>
              </w:divBdr>
            </w:div>
          </w:divsChild>
        </w:div>
        <w:div w:id="1673413589">
          <w:marLeft w:val="0"/>
          <w:marRight w:val="0"/>
          <w:marTop w:val="0"/>
          <w:marBottom w:val="0"/>
          <w:divBdr>
            <w:top w:val="none" w:sz="0" w:space="0" w:color="auto"/>
            <w:left w:val="none" w:sz="0" w:space="0" w:color="auto"/>
            <w:bottom w:val="none" w:sz="0" w:space="0" w:color="auto"/>
            <w:right w:val="none" w:sz="0" w:space="0" w:color="auto"/>
          </w:divBdr>
          <w:divsChild>
            <w:div w:id="612706850">
              <w:marLeft w:val="0"/>
              <w:marRight w:val="0"/>
              <w:marTop w:val="0"/>
              <w:marBottom w:val="0"/>
              <w:divBdr>
                <w:top w:val="none" w:sz="0" w:space="0" w:color="auto"/>
                <w:left w:val="none" w:sz="0" w:space="0" w:color="auto"/>
                <w:bottom w:val="none" w:sz="0" w:space="0" w:color="auto"/>
                <w:right w:val="none" w:sz="0" w:space="0" w:color="auto"/>
              </w:divBdr>
            </w:div>
          </w:divsChild>
        </w:div>
        <w:div w:id="883250405">
          <w:marLeft w:val="0"/>
          <w:marRight w:val="0"/>
          <w:marTop w:val="0"/>
          <w:marBottom w:val="0"/>
          <w:divBdr>
            <w:top w:val="none" w:sz="0" w:space="0" w:color="auto"/>
            <w:left w:val="none" w:sz="0" w:space="0" w:color="auto"/>
            <w:bottom w:val="none" w:sz="0" w:space="0" w:color="auto"/>
            <w:right w:val="none" w:sz="0" w:space="0" w:color="auto"/>
          </w:divBdr>
          <w:divsChild>
            <w:div w:id="158938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E1365-8419-415D-9033-E0C6D330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Hristo Yordanov</cp:lastModifiedBy>
  <cp:revision>17</cp:revision>
  <dcterms:created xsi:type="dcterms:W3CDTF">2022-12-06T08:51:00Z</dcterms:created>
  <dcterms:modified xsi:type="dcterms:W3CDTF">2026-04-23T08:34:00Z</dcterms:modified>
</cp:coreProperties>
</file>